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32.png" ContentType="image/png"/>
  <Override PartName="/word/media/rId43.png" ContentType="image/png"/>
  <Override PartName="/word/media/rId33.png" ContentType="image/png"/>
  <Override PartName="/word/media/rId39.png" ContentType="image/png"/>
  <Override PartName="/word/media/rId89.png" ContentType="image/png"/>
  <Override PartName="/word/media/rId159.png" ContentType="image/png"/>
  <Override PartName="/word/media/rId151.png" ContentType="image/png"/>
  <Override PartName="/word/media/rId150.png" ContentType="image/png"/>
  <Override PartName="/word/media/rId76.png" ContentType="image/png"/>
  <Override PartName="/word/media/rId73.png" ContentType="image/png"/>
  <Override PartName="/word/media/rId75.png" ContentType="image/png"/>
  <Override PartName="/word/media/rId72.png" ContentType="image/png"/>
  <Override PartName="/word/media/rId78.png" ContentType="image/png"/>
  <Override PartName="/word/media/rId146.png" ContentType="image/png"/>
  <Override PartName="/word/media/rId111.png" ContentType="image/png"/>
  <Override PartName="/word/media/rId96.png" ContentType="image/png"/>
  <Override PartName="/word/media/rId97.png" ContentType="image/png"/>
  <Override PartName="/word/media/rId98.png" ContentType="image/png"/>
  <Override PartName="/word/media/rId99.png" ContentType="image/png"/>
  <Override PartName="/word/media/rId106.png" ContentType="image/png"/>
  <Override PartName="/word/media/rId107.png" ContentType="image/png"/>
  <Override PartName="/word/media/rId108.png" ContentType="image/png"/>
  <Override PartName="/word/media/rId109.png" ContentType="image/png"/>
  <Override PartName="/word/media/rId101.png" ContentType="image/png"/>
  <Override PartName="/word/media/rId102.png" ContentType="image/png"/>
  <Override PartName="/word/media/rId103.png" ContentType="image/png"/>
  <Override PartName="/word/media/rId104.png" ContentType="image/png"/>
  <Override PartName="/word/media/rId94.png" ContentType="image/png"/>
  <Override PartName="/word/media/rId114.png" ContentType="image/png"/>
  <Override PartName="/word/media/rId117.png" ContentType="image/png"/>
  <Override PartName="/word/media/rId116.png" ContentType="image/png"/>
  <Override PartName="/word/media/rId64.png" ContentType="image/png"/>
  <Override PartName="/word/media/rId65.png" ContentType="image/png"/>
  <Override PartName="/word/media/rId144.png" ContentType="image/png"/>
  <Override PartName="/word/media/rId143.png" ContentType="image/png"/>
  <Override PartName="/word/media/rId142.png" ContentType="image/png"/>
  <Override PartName="/word/media/rId141.png" ContentType="image/png"/>
  <Override PartName="/word/media/rId59.png" ContentType="image/png"/>
  <Override PartName="/word/media/rId57.png" ContentType="image/png"/>
  <Override PartName="/word/media/rId140.png" ContentType="image/png"/>
  <Override PartName="/word/media/rId154.png" ContentType="image/png"/>
  <Override PartName="/word/media/rId155.png" ContentType="image/png"/>
  <Override PartName="/word/media/rId135.png" ContentType="image/png"/>
  <Override PartName="/word/media/rId113.png" ContentType="image/png"/>
  <Override PartName="/word/media/rId139.png" ContentType="image/png"/>
  <Override PartName="/word/media/rId138.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concentration</w:t>
      </w:r>
      <w:r>
        <w:t xml:space="preserve"> </w:t>
      </w:r>
      <w:r>
        <w:t xml:space="preserve">and</w:t>
      </w:r>
      <w:r>
        <w:t xml:space="preserve"> </w:t>
      </w:r>
      <w:r>
        <w:t xml:space="preserve">character</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drinking</w:t>
      </w:r>
      <w:r>
        <w:t xml:space="preserve"> </w:t>
      </w:r>
      <w:r>
        <w:t xml:space="preserve">water</w:t>
      </w:r>
      <w:r>
        <w:t xml:space="preserve"> </w:t>
      </w:r>
      <w:r>
        <w:t xml:space="preserve">supply</w:t>
      </w:r>
      <w:r>
        <w:t xml:space="preserve"> </w:t>
      </w:r>
      <w:r>
        <w:t xml:space="preserve">area</w:t>
      </w:r>
      <w:r>
        <w:t xml:space="preserve"> </w:t>
      </w:r>
      <w:r>
        <w:t xml:space="preserve">on</w:t>
      </w:r>
      <w:r>
        <w:t xml:space="preserve"> </w:t>
      </w:r>
      <w:r>
        <w:t xml:space="preserve">Vancouver</w:t>
      </w:r>
      <w:r>
        <w:t xml:space="preserve"> </w:t>
      </w:r>
      <w:r>
        <w:t xml:space="preserve">Island,</w:t>
      </w:r>
      <w:r>
        <w:t xml:space="preserve"> </w:t>
      </w:r>
      <w:r>
        <w:t xml:space="preserve">BC:</w:t>
      </w:r>
      <w:r>
        <w:t xml:space="preserve"> </w:t>
      </w:r>
      <w:r>
        <w:t xml:space="preserve">an</w:t>
      </w:r>
      <w:r>
        <w:t xml:space="preserve"> </w:t>
      </w:r>
      <w:r>
        <w:t xml:space="preserve">assessment</w:t>
      </w:r>
      <w:r>
        <w:t xml:space="preserve"> </w:t>
      </w:r>
      <w:r>
        <w:t xml:space="preserve">of</w:t>
      </w:r>
      <w:r>
        <w:t xml:space="preserve"> </w:t>
      </w:r>
      <w:r>
        <w:t xml:space="preserve">dissolved</w:t>
      </w:r>
      <w:r>
        <w:t xml:space="preserve"> </w:t>
      </w:r>
      <w:r>
        <w:t xml:space="preserve">organic</w:t>
      </w:r>
      <w:r>
        <w:t xml:space="preserve"> </w:t>
      </w:r>
      <w:r>
        <w:t xml:space="preserve">carbon</w:t>
      </w:r>
      <w:r>
        <w:t xml:space="preserve"> </w:t>
      </w:r>
      <w:r>
        <w:t xml:space="preserve">and</w:t>
      </w:r>
      <w:r>
        <w:t xml:space="preserve"> </w:t>
      </w:r>
      <w:r>
        <w:t xml:space="preserve">spectral</w:t>
      </w:r>
      <w:r>
        <w:t xml:space="preserve"> </w:t>
      </w:r>
      <w:r>
        <w:t xml:space="preserve">properties</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w:t>
      </w:r>
      <w:r>
        <w:rPr>
          <w:vertAlign w:val="superscript"/>
        </w:rPr>
        <w:t xml:space="preserve">2</w:t>
      </w:r>
      <w:r>
        <w:t xml:space="preserve"> </w:t>
      </w:r>
      <w:r>
        <w:t xml:space="preserve">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 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bl>
    <w:p>
      <w:pPr>
        <w:pStyle w:val="BodyText"/>
      </w:pPr>
      <w:r>
        <w:t xml:space="preserve"> </w:t>
      </w:r>
    </w:p>
    <w:p>
      <w:pPr>
        <w:pStyle w:val="TableCaption"/>
      </w:pPr>
      <w:r>
        <w:t xml:space="preserve">Table 2: Glossary of Terms</w:t>
      </w:r>
    </w:p>
    <w:tbl>
      <w:tblPr>
        <w:tblStyle w:val="Table"/>
        <w:tblW w:type="pct" w:w="5000.0"/>
        <w:tblLook w:firstRow="1"/>
        <w:tblCaption w:val="Table 2: Glossary of Terms"/>
      </w:tblPr>
      <w:tblGrid>
        <w:gridCol w:w="870"/>
        <w:gridCol w:w="7049"/>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 in the LWSA</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abosrbance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Haloacetonitrils, haloketons)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 DOC makes up the majority of dissolved organic matter</w:t>
            </w:r>
          </w:p>
        </w:tc>
      </w:tr>
      <w:tr>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bionds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your feedback. I’m grateful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(or the</w:t>
      </w:r>
      <w:r>
        <w:t xml:space="preserve"> </w:t>
      </w:r>
      <w:r>
        <w:t xml:space="preserve">“</w:t>
      </w:r>
      <w:r>
        <w:t xml:space="preserve">great modulator</w:t>
      </w:r>
      <w:r>
        <w:t xml:space="preserve">”</w:t>
      </w:r>
      <w:r>
        <w:t xml:space="preserve">) due to it’s terrestrial-aquatic linkages,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wavelengths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SAC</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specific absorbance coefficient at 254 nm (SAC</w:t>
      </w:r>
      <w:r>
        <w:rPr>
          <w:vertAlign w:val="subscript"/>
        </w:rPr>
        <w:t xml:space="preserve">254</w:t>
      </w:r>
      <w:r>
        <w:t xml:space="preserve">) 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The slope of absorbances over certain wavelength ranges (e.g. 275-295 nm (S</w:t>
      </w:r>
      <w:r>
        <w:rPr>
          <w:vertAlign w:val="subscript"/>
        </w:rPr>
        <w:t xml:space="preserve">275-295</w:t>
      </w:r>
      <w:r>
        <w:t xml:space="preserve">) or 350-400 nm (S</w:t>
      </w:r>
      <w:r>
        <w:rPr>
          <w:vertAlign w:val="subscript"/>
        </w:rPr>
        <w:t xml:space="preserve">350-400</w:t>
      </w:r>
      <w:r>
        <w:t xml:space="preserve">))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 et al.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w:t>
      </w:r>
      <w:r>
        <w:rPr>
          <w:i/>
        </w:rPr>
        <w:t xml:space="preserve">n</w:t>
      </w:r>
      <w:r>
        <w:t xml:space="preserve">=1006)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 et al.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 et al.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rPr>
          <w:b/>
        </w:rPr>
        <w:t xml:space="preserve">Research Question 1.</w:t>
      </w:r>
      <w:r>
        <w:t xml:space="preserve"> </w:t>
      </w:r>
      <w:r>
        <w:t xml:space="preserve">How does NOM concentration and character vary among adjacent drainage basins and across nested sub-catchments in the Greater Victoria Water Supply Area, and what influence does seasonality have?</w:t>
      </w:r>
    </w:p>
    <w:p>
      <w:pPr>
        <w:pStyle w:val="BodyText"/>
      </w:pPr>
      <w:r>
        <w:rPr>
          <w:b/>
        </w:rPr>
        <w:t xml:space="preserve">Objective 1:</w:t>
      </w:r>
      <w:r>
        <w:t xml:space="preserve"> </w:t>
      </w:r>
      <w:r>
        <w:t xml:space="preserve">Design a sampling strategy to describe spatial and temporal patterns and variation of NOM concentrations and character.</w:t>
      </w:r>
    </w:p>
    <w:p>
      <w:pPr>
        <w:pStyle w:val="BodyText"/>
      </w:pPr>
      <w:r>
        <w:t xml:space="preserve"> </w:t>
      </w:r>
    </w:p>
    <w:p>
      <w:pPr>
        <w:pStyle w:val="BodyText"/>
      </w:pPr>
      <w:r>
        <w:rPr>
          <w:b/>
        </w:rPr>
        <w:t xml:space="preserve">Research Question 2.</w:t>
      </w:r>
      <w:r>
        <w:t xml:space="preserve"> </w:t>
      </w:r>
      <w:r>
        <w:t xml:space="preserve">What are the primary drivers (e.g. watershed characteristics or conditions) for changes in NOM concentrations and character in the Leech watershed?</w:t>
      </w:r>
    </w:p>
    <w:p>
      <w:pPr>
        <w:pStyle w:val="BodyText"/>
      </w:pPr>
      <w:r>
        <w:rPr>
          <w:b/>
        </w:rPr>
        <w:t xml:space="preserve">Objective 2:</w:t>
      </w:r>
      <w:r>
        <w:t xml:space="preserve"> </w:t>
      </w:r>
      <w:r>
        <w:t xml:space="preserve">Relate water sample results to watershed characteristics and conditions to report on relationships between NOM and possible explanatory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River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km^2) encompassed Weeks Lake and surrounding wetlands (Jordan Meadows fen), and Chris crk sub-basin (5.8 km^2)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 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WSA slope of 61</w:t>
      </w:r>
      <m:oMath>
        <m:sSup>
          <m:e>
            <m:r>
              <m:t>​</m:t>
            </m:r>
          </m:e>
          <m:sup>
            <m:r>
              <m:t>∘</m:t>
            </m:r>
          </m:sup>
        </m:sSup>
      </m:oMath>
      <w:r>
        <w:t xml:space="preserve">.</w:t>
      </w:r>
    </w:p>
    <w:p>
      <w:pPr>
        <w:pStyle w:val="BodyText"/>
      </w:pPr>
      <w:r>
        <w:t xml:space="preserve"> </w:t>
      </w:r>
    </w:p>
    <w:p>
      <w:pPr>
        <w:pStyle w:val="TableCaption"/>
      </w:pPr>
      <w:r>
        <w:t xml:space="preserve">Table 3: Watershed Characteristics of Twelve Synoptic Sampling Sites Across the Leech and Sooke Water Supply Areas (WSA), Greater Victoria, BC</w:t>
      </w:r>
    </w:p>
    <w:tbl>
      <w:tblPr>
        <w:tblStyle w:val="Table"/>
        <w:tblW w:type="pct" w:w="5000.0"/>
        <w:tblLook w:firstRow="1"/>
        <w:tblCaption w:val="Table 3: Watershed Characteristics of Twelve Synoptic Sampling Sites Across the Leech and Sooke Water Supply Areas (WSA), Greater Victoria, BC"/>
      </w:tblPr>
      <w:tblGrid>
        <w:gridCol w:w="720"/>
        <w:gridCol w:w="680"/>
        <w:gridCol w:w="680"/>
        <w:gridCol w:w="680"/>
        <w:gridCol w:w="680"/>
        <w:gridCol w:w="660"/>
        <w:gridCol w:w="680"/>
        <w:gridCol w:w="500"/>
        <w:gridCol w:w="500"/>
        <w:gridCol w:w="660"/>
        <w:gridCol w:w="400"/>
        <w:gridCol w:w="400"/>
        <w:gridCol w:w="680"/>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 head</w:t>
            </w:r>
          </w:p>
        </w:tc>
        <w:tc>
          <w:tcPr>
            <w:tcBorders>
              <w:bottom w:val="single"/>
            </w:tcBorders>
            <w:vAlign w:val="bottom"/>
          </w:tcPr>
          <w:p>
            <w:pPr>
              <w:pStyle w:val="Compact"/>
              <w:jc w:val="left"/>
            </w:pPr>
            <w:r>
              <w:t xml:space="preserve">Cragg 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c>
          <w:tcPr>
            <w:tcBorders>
              <w:bottom w:val="single"/>
            </w:tcBorders>
            <w:vAlign w:val="bottom"/>
          </w:tcPr>
          <w:p>
            <w:pPr>
              <w:pStyle w:val="Compact"/>
              <w:jc w:val="left"/>
            </w:pPr>
            <w:r>
              <w:t xml:space="preserve">Judge crk</w:t>
            </w:r>
          </w:p>
        </w:tc>
        <w:tc>
          <w:tcPr>
            <w:tcBorders>
              <w:bottom w:val="single"/>
            </w:tcBorders>
            <w:vAlign w:val="bottom"/>
          </w:tcPr>
          <w:p>
            <w:pPr>
              <w:pStyle w:val="Compact"/>
              <w:jc w:val="left"/>
            </w:pPr>
            <w:r>
              <w:t xml:space="preserve">Rithet crk</w:t>
            </w:r>
          </w:p>
        </w:tc>
        <w:tc>
          <w:tcPr>
            <w:tcBorders>
              <w:bottom w:val="single"/>
            </w:tcBorders>
            <w:vAlign w:val="bottom"/>
          </w:tcPr>
          <w:p>
            <w:pPr>
              <w:pStyle w:val="Compact"/>
              <w:jc w:val="left"/>
            </w:pPr>
            <w:r>
              <w:t xml:space="preserve">Deception (gulch)</w:t>
            </w:r>
          </w:p>
        </w:tc>
        <w:tc>
          <w:tcPr>
            <w:tcBorders>
              <w:bottom w:val="single"/>
            </w:tcBorders>
            <w:vAlign w:val="bottom"/>
          </w:tcPr>
          <w:p>
            <w:pPr>
              <w:pStyle w:val="Compact"/>
              <w:jc w:val="left"/>
            </w:pPr>
            <w:r>
              <w:t xml:space="preserve">Jarvis crk</w:t>
            </w:r>
          </w:p>
        </w:tc>
        <w:tc>
          <w:tcPr>
            <w:tcBorders>
              <w:bottom w:val="single"/>
            </w:tcBorders>
            <w:vAlign w:val="bottom"/>
          </w:tcPr>
          <w:p>
            <w:pPr>
              <w:pStyle w:val="Compact"/>
              <w:jc w:val="left"/>
            </w:pPr>
            <w:r>
              <w:t xml:space="preserve">Lazar crk</w:t>
            </w:r>
          </w:p>
        </w:tc>
        <w:tc>
          <w:tcPr>
            <w:tcBorders>
              <w:bottom w:val="single"/>
            </w:tcBorders>
            <w:vAlign w:val="bottom"/>
          </w:tcPr>
          <w:p>
            <w:pPr>
              <w:pStyle w:val="Compact"/>
              <w:jc w:val="left"/>
            </w:pPr>
            <w:r>
              <w:t xml:space="preserve">Leech beach</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-123.844</w:t>
            </w:r>
          </w:p>
        </w:tc>
        <w:tc>
          <w:p>
            <w:pPr>
              <w:pStyle w:val="Compact"/>
              <w:jc w:val="left"/>
            </w:pPr>
            <w:r>
              <w:t xml:space="preserve">-123.84</w:t>
            </w:r>
          </w:p>
        </w:tc>
        <w:tc>
          <w:p>
            <w:pPr>
              <w:pStyle w:val="Compact"/>
              <w:jc w:val="left"/>
            </w:pPr>
            <w:r>
              <w:t xml:space="preserve">-123.8257</w:t>
            </w:r>
          </w:p>
        </w:tc>
        <w:tc>
          <w:p>
            <w:pPr>
              <w:pStyle w:val="Compact"/>
              <w:jc w:val="left"/>
            </w:pPr>
            <w:r>
              <w:t xml:space="preserve">-123.7714</w:t>
            </w:r>
          </w:p>
        </w:tc>
        <w:tc>
          <w:p>
            <w:pPr>
              <w:pStyle w:val="Compact"/>
              <w:jc w:val="left"/>
            </w:pPr>
            <w:r>
              <w:t xml:space="preserve">-123.7862</w:t>
            </w:r>
          </w:p>
        </w:tc>
        <w:tc>
          <w:p>
            <w:pPr>
              <w:pStyle w:val="Compact"/>
              <w:jc w:val="left"/>
            </w:pPr>
            <w:r>
              <w:t xml:space="preserve">-123.768</w:t>
            </w:r>
          </w:p>
        </w:tc>
        <w:tc>
          <w:p>
            <w:pPr>
              <w:pStyle w:val="Compact"/>
              <w:jc w:val="left"/>
            </w:pPr>
            <w:r>
              <w:t xml:space="preserve">-123.6735</w:t>
            </w:r>
          </w:p>
        </w:tc>
        <w:tc>
          <w:p>
            <w:pPr>
              <w:pStyle w:val="Compact"/>
              <w:jc w:val="left"/>
            </w:pPr>
            <w:r>
              <w:t xml:space="preserve">-123.725</w:t>
            </w:r>
          </w:p>
        </w:tc>
        <w:tc>
          <w:p>
            <w:pPr>
              <w:pStyle w:val="Compact"/>
              <w:jc w:val="left"/>
            </w:pPr>
            <w:r>
              <w:t xml:space="preserve">-123.7204</w:t>
            </w:r>
          </w:p>
        </w:tc>
        <w:tc>
          <w:p>
            <w:pPr>
              <w:pStyle w:val="Compact"/>
              <w:jc w:val="left"/>
            </w:pPr>
            <w:r>
              <w:t xml:space="preserve">-123.7981</w:t>
            </w:r>
          </w:p>
        </w:tc>
        <w:tc>
          <w:p>
            <w:pPr>
              <w:pStyle w:val="Compact"/>
              <w:jc w:val="left"/>
            </w:pPr>
            <w:r>
              <w:t xml:space="preserve">-123.77</w:t>
            </w:r>
          </w:p>
        </w:tc>
        <w:tc>
          <w:p>
            <w:pPr>
              <w:pStyle w:val="Compact"/>
              <w:jc w:val="left"/>
            </w:pPr>
            <w:r>
              <w:t xml:space="preserve">-123.7818</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r>
        <w:tc>
          <w:p>
            <w:pPr>
              <w:pStyle w:val="Compact"/>
              <w:jc w:val="left"/>
            </w:pPr>
            <w:r>
              <w:t xml:space="preserve">Tree age (average, yrs)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Forest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Wetland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Open water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Dominant parent material (by area)</w:t>
            </w:r>
          </w:p>
        </w:tc>
        <w:tc>
          <w:p>
            <w:pPr>
              <w:pStyle w:val="Compact"/>
              <w:jc w:val="left"/>
            </w:pPr>
            <w:r>
              <w:t xml:space="preserve">Argillite metagreywacke (64.2 %)</w:t>
            </w:r>
          </w:p>
        </w:tc>
        <w:tc>
          <w:p>
            <w:pPr>
              <w:pStyle w:val="Compact"/>
              <w:jc w:val="left"/>
            </w:pPr>
            <w:r>
              <w:t xml:space="preserve">Chert argillite volcanic (55.1 %)</w:t>
            </w:r>
          </w:p>
        </w:tc>
        <w:tc>
          <w:p>
            <w:pPr>
              <w:pStyle w:val="Compact"/>
              <w:jc w:val="left"/>
            </w:pPr>
            <w:r>
              <w:t xml:space="preserve">Argillite metagreywacke (42.1 %)</w:t>
            </w:r>
          </w:p>
        </w:tc>
        <w:tc>
          <w:p>
            <w:pPr>
              <w:pStyle w:val="Compact"/>
              <w:jc w:val="left"/>
            </w:pPr>
            <w:r>
              <w:t xml:space="preserve">Wark gneiss (77.6 %)</w:t>
            </w:r>
          </w:p>
        </w:tc>
        <w:tc>
          <w:p>
            <w:pPr>
              <w:pStyle w:val="Compact"/>
              <w:jc w:val="left"/>
            </w:pPr>
            <w:r>
              <w:t xml:space="preserve">Argillite metagreywacke (76.8 %)</w:t>
            </w:r>
          </w:p>
        </w:tc>
        <w:tc>
          <w:p>
            <w:pPr>
              <w:pStyle w:val="Compact"/>
              <w:jc w:val="left"/>
            </w:pPr>
            <w:r>
              <w:t xml:space="preserve">Argillite metagreywacke (45.1 %)</w:t>
            </w:r>
          </w:p>
        </w:tc>
        <w:tc>
          <w:p>
            <w:pPr>
              <w:pStyle w:val="Compact"/>
              <w:jc w:val="left"/>
            </w:pPr>
            <w:r>
              <w:t xml:space="preserve">Colquitz gneiss (72.4 %)</w:t>
            </w:r>
          </w:p>
        </w:tc>
        <w:tc>
          <w:p>
            <w:pPr>
              <w:pStyle w:val="Compact"/>
              <w:jc w:val="left"/>
            </w:pPr>
            <w:r>
              <w:t xml:space="preserve">Wark gneiss (79.2 %)</w:t>
            </w:r>
          </w:p>
        </w:tc>
        <w:tc>
          <w:p>
            <w:pPr>
              <w:pStyle w:val="Compact"/>
              <w:jc w:val="left"/>
            </w:pPr>
            <w:r>
              <w:t xml:space="preserve">Wark gneiss (61.2 %)</w:t>
            </w:r>
          </w:p>
        </w:tc>
        <w:tc>
          <w:p>
            <w:pPr>
              <w:pStyle w:val="Compact"/>
              <w:jc w:val="left"/>
            </w:pPr>
            <w:r>
              <w:t xml:space="preserve">Wark gneiss (100 %)</w:t>
            </w:r>
          </w:p>
        </w:tc>
        <w:tc>
          <w:p>
            <w:pPr>
              <w:pStyle w:val="Compact"/>
              <w:jc w:val="left"/>
            </w:pPr>
            <w:r>
              <w:t xml:space="preserve">Wark gneiss (100 %)</w:t>
            </w:r>
          </w:p>
        </w:tc>
        <w:tc>
          <w:p>
            <w:pPr>
              <w:pStyle w:val="Compact"/>
              <w:jc w:val="left"/>
            </w:pPr>
            <w:r>
              <w:t xml:space="preserve">Argillite metagreywacke (45.1 %)</w:t>
            </w:r>
          </w:p>
        </w:tc>
      </w:tr>
      <w:tr>
        <w:tc>
          <w:p>
            <w:pPr>
              <w:pStyle w:val="Compact"/>
              <w:jc w:val="left"/>
            </w:pPr>
            <w:r>
              <w:t xml:space="preserve">Secondary parent material (by area)</w:t>
            </w:r>
          </w:p>
        </w:tc>
        <w:tc>
          <w:p>
            <w:pPr>
              <w:pStyle w:val="Compact"/>
              <w:jc w:val="left"/>
            </w:pPr>
            <w:r>
              <w:t xml:space="preserve">Chert argillite volcanic (22.2 %)</w:t>
            </w:r>
          </w:p>
        </w:tc>
        <w:tc>
          <w:p>
            <w:pPr>
              <w:pStyle w:val="Compact"/>
              <w:jc w:val="left"/>
            </w:pPr>
            <w:r>
              <w:t xml:space="preserve">Wark gneiss (44.9 %)</w:t>
            </w:r>
          </w:p>
        </w:tc>
        <w:tc>
          <w:p>
            <w:pPr>
              <w:pStyle w:val="Compact"/>
              <w:jc w:val="left"/>
            </w:pPr>
            <w:r>
              <w:t xml:space="preserve">Chert argillite volcanic (37.4 %)</w:t>
            </w:r>
          </w:p>
        </w:tc>
        <w:tc>
          <w:p>
            <w:pPr>
              <w:pStyle w:val="Compact"/>
              <w:jc w:val="left"/>
            </w:pPr>
            <w:r>
              <w:t xml:space="preserve">Chert argillite volcanic (22.4 %)</w:t>
            </w:r>
          </w:p>
        </w:tc>
        <w:tc>
          <w:p>
            <w:pPr>
              <w:pStyle w:val="Compact"/>
              <w:jc w:val="left"/>
            </w:pPr>
            <w:r>
              <w:t xml:space="preserve">Metchosin volcanics (16 %)</w:t>
            </w:r>
          </w:p>
        </w:tc>
        <w:tc>
          <w:p>
            <w:pPr>
              <w:pStyle w:val="Compact"/>
              <w:jc w:val="left"/>
            </w:pPr>
            <w:r>
              <w:t xml:space="preserve">Wark gneiss (30.6 %)</w:t>
            </w:r>
          </w:p>
        </w:tc>
        <w:tc>
          <w:p>
            <w:pPr>
              <w:pStyle w:val="Compact"/>
              <w:jc w:val="left"/>
            </w:pPr>
            <w:r>
              <w:t xml:space="preserve">Wark gneiss (27 %)</w:t>
            </w:r>
          </w:p>
        </w:tc>
        <w:tc>
          <w:p>
            <w:pPr>
              <w:pStyle w:val="Compact"/>
              <w:jc w:val="left"/>
            </w:pPr>
            <w:r>
              <w:t xml:space="preserve">Colquitz gneiss (20.3 %)</w:t>
            </w:r>
          </w:p>
        </w:tc>
        <w:tc>
          <w:p>
            <w:pPr>
              <w:pStyle w:val="Compact"/>
              <w:jc w:val="left"/>
            </w:pPr>
            <w:r>
              <w:t xml:space="preserve">Argillite metagreywacke (38.8 %)</w:t>
            </w:r>
          </w:p>
        </w:tc>
        <w:tc>
          <w:p>
            <w:pPr>
              <w:pStyle w:val="Compact"/>
              <w:jc w:val="left"/>
            </w:pPr>
            <w:r>
              <w:t xml:space="preserve">-</w:t>
            </w:r>
          </w:p>
        </w:tc>
        <w:tc>
          <w:p>
            <w:pPr>
              <w:pStyle w:val="Compact"/>
              <w:jc w:val="left"/>
            </w:pPr>
            <w:r>
              <w:t xml:space="preserve">-</w:t>
            </w:r>
          </w:p>
        </w:tc>
        <w:tc>
          <w:p>
            <w:pPr>
              <w:pStyle w:val="Compact"/>
              <w:jc w:val="left"/>
            </w:pPr>
            <w:r>
              <w:t xml:space="preserve">Wark gneiss (31 %)</w:t>
            </w:r>
          </w:p>
        </w:tc>
      </w:tr>
      <w:tr>
        <w:tc>
          <w:p>
            <w:pPr>
              <w:pStyle w:val="Compact"/>
              <w:jc w:val="left"/>
            </w:pPr>
            <w:r>
              <w:t xml:space="preserve">Tertiary parent material (by area)</w:t>
            </w:r>
          </w:p>
        </w:tc>
        <w:tc>
          <w:p>
            <w:pPr>
              <w:pStyle w:val="Compact"/>
              <w:jc w:val="left"/>
            </w:pPr>
            <w:r>
              <w:t xml:space="preserve">Wark gneiss (13.6 %)</w:t>
            </w:r>
          </w:p>
        </w:tc>
        <w:tc>
          <w:p>
            <w:pPr>
              <w:pStyle w:val="Compact"/>
              <w:jc w:val="left"/>
            </w:pPr>
            <w:r>
              <w:t xml:space="preserve">-</w:t>
            </w:r>
          </w:p>
        </w:tc>
        <w:tc>
          <w:p>
            <w:pPr>
              <w:pStyle w:val="Compact"/>
              <w:jc w:val="left"/>
            </w:pPr>
            <w:r>
              <w:t xml:space="preserve">Wark gneiss (20.5 %)</w:t>
            </w:r>
          </w:p>
        </w:tc>
        <w:tc>
          <w:p>
            <w:pPr>
              <w:pStyle w:val="Compact"/>
              <w:jc w:val="left"/>
            </w:pPr>
            <w:r>
              <w:t xml:space="preserve">-</w:t>
            </w:r>
          </w:p>
        </w:tc>
        <w:tc>
          <w:p>
            <w:pPr>
              <w:pStyle w:val="Compact"/>
              <w:jc w:val="left"/>
            </w:pPr>
            <w:r>
              <w:t xml:space="preserve">Metagreywacke (7.2 %)</w:t>
            </w:r>
          </w:p>
        </w:tc>
        <w:tc>
          <w:p>
            <w:pPr>
              <w:pStyle w:val="Compact"/>
              <w:jc w:val="left"/>
            </w:pPr>
            <w:r>
              <w:t xml:space="preserve">Chert argillite volcanic (17.9 %)</w:t>
            </w:r>
          </w:p>
        </w:tc>
        <w:tc>
          <w:p>
            <w:pPr>
              <w:pStyle w:val="Compact"/>
              <w:jc w:val="left"/>
            </w:pPr>
            <w:r>
              <w:t xml:space="preserve">Limestone (0.6 %)</w:t>
            </w:r>
          </w:p>
        </w:tc>
        <w:tc>
          <w:p>
            <w:pPr>
              <w:pStyle w:val="Compact"/>
              <w:jc w:val="left"/>
            </w:pPr>
            <w:r>
              <w:t xml:space="preserve">Limestone (0.4 %)</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Chert argillite volcanic (18.1 %)</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manually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w:t>
      </w:r>
      <w:r>
        <w:t xml:space="preserve"> </w:t>
      </w:r>
      <w:r>
        <w:rPr>
          <w:i/>
        </w:rPr>
        <w:t xml:space="preserve">‘</w:t>
      </w:r>
      <w:r>
        <w:rPr>
          <w:i/>
        </w:rPr>
        <w:t xml:space="preserve">Foundational Results</w:t>
      </w:r>
      <w:r>
        <w:rPr>
          <w:i/>
        </w:rPr>
        <w:t xml:space="preserve">’</w:t>
      </w:r>
      <w:r>
        <w:t xml:space="preserve">).</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w:t>
      </w:r>
      <w:r>
        <w:rPr>
          <w:i/>
        </w:rPr>
        <w:t xml:space="preserve">n</w:t>
      </w:r>
      <w:r>
        <w:t xml:space="preserve"> </w:t>
      </w:r>
      <w:r>
        <w:t xml:space="preserve">=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w:t>
      </w:r>
      <w:r>
        <w:t xml:space="preserve"> </w:t>
      </w:r>
      <w:r>
        <w:rPr>
          <w:i/>
        </w:rPr>
        <w:t xml:space="preserve">‘</w:t>
      </w:r>
      <w:r>
        <w:rPr>
          <w:i/>
        </w:rPr>
        <w:t xml:space="preserve">Foundation Results</w:t>
      </w:r>
      <w:r>
        <w:rPr>
          <w:i/>
        </w:rPr>
        <w:t xml:space="preserve">’</w:t>
      </w:r>
      <w:r>
        <w:t xml:space="preserve">).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(catalog No.LC129107, labchem.com) gravimetrically diluted to approximately 3-8 mg/L).</w:t>
      </w:r>
    </w:p>
    <w:p>
      <w:pPr>
        <w:pStyle w:val="BodyText"/>
      </w:pPr>
      <w:r>
        <w:t xml:space="preserve"> </w:t>
      </w:r>
    </w:p>
    <w:p>
      <w:pPr>
        <w:pStyle w:val="Heading4"/>
      </w:pPr>
      <w:bookmarkStart w:id="50" w:name="Xa19b3801762e0a6c0f55232717f8102b4711780"/>
      <w:r>
        <w:t xml:space="preserve">Characterizing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specific absorbance coefficients (SAC, m</w:t>
      </w:r>
      <w:r>
        <w:rPr>
          <w:vertAlign w:val="superscript"/>
        </w:rPr>
        <w:t xml:space="preserve">-1</w:t>
      </w:r>
      <w:r>
        <w:t xml:space="preserve">) were used to assess NOM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es-of-nom-character"/>
      <w:r>
        <w:t xml:space="preserve">Spectral indices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DBP-FP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section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br/>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4</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4: CRD Fire Weather Station (FWx) Summary of Features</w:t>
      </w:r>
    </w:p>
    <w:tbl>
      <w:tblPr>
        <w:tblStyle w:val="Table"/>
        <w:tblW w:type="pct" w:w="5000.0"/>
        <w:tblLook w:firstRow="1"/>
        <w:tblCaption w:val="Table 4: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5000.0"/>
        <w:tblLook w:firstRow="1"/>
        <w:tblCaption w:val="Table 5: Average Weather Data from Chris Creek and Martin’s Gulch Fire-weather Stations in Leech Water Supply Area in 2018, 2019, and the Period of 2020 Included in This Project"/>
      </w:tblPr>
      <w:tblGrid>
        <w:gridCol w:w="710"/>
        <w:gridCol w:w="546"/>
        <w:gridCol w:w="819"/>
        <w:gridCol w:w="1147"/>
        <w:gridCol w:w="1147"/>
        <w:gridCol w:w="1365"/>
        <w:gridCol w:w="1092"/>
        <w:gridCol w:w="109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right"/>
            </w:pPr>
            <w:r>
              <w:t xml:space="preserve">st.dev. (± mm)</w:t>
            </w:r>
          </w:p>
        </w:tc>
        <w:tc>
          <w:tcPr>
            <w:tcBorders>
              <w:bottom w:val="single"/>
            </w:tcBorders>
            <w:vAlign w:val="bottom"/>
          </w:tcPr>
          <w:p>
            <w:pPr>
              <w:pStyle w:val="Compact"/>
              <w:jc w:val="right"/>
            </w:pPr>
            <w:r>
              <w:t xml:space="preserve">Snow depth, max. (m)</w:t>
            </w:r>
          </w:p>
        </w:tc>
        <w:tc>
          <w:tcPr>
            <w:tcBorders>
              <w:bottom w:val="single"/>
            </w:tcBorders>
            <w:vAlign w:val="bottom"/>
          </w:tcPr>
          <w:p>
            <w:pPr>
              <w:pStyle w:val="Compact"/>
              <w:jc w:val="right"/>
            </w:pPr>
            <w:r>
              <w:t xml:space="preserve">Air temp., mean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Min. air temp. (°C)</w:t>
            </w:r>
          </w:p>
        </w:tc>
        <w:tc>
          <w:tcPr>
            <w:tcBorders>
              <w:bottom w:val="single"/>
            </w:tcBorders>
            <w:vAlign w:val="bottom"/>
          </w:tcPr>
          <w:p>
            <w:pPr>
              <w:pStyle w:val="Compact"/>
              <w:jc w:val="right"/>
            </w:pPr>
            <w:r>
              <w:t xml:space="preserve">Max. air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6</w:t>
      </w:r>
      <w:r>
        <w:t xml:space="preserve">).</w:t>
      </w:r>
    </w:p>
    <w:p>
      <w:pPr>
        <w:pStyle w:val="BodyText"/>
      </w:pPr>
      <w:r>
        <w:t xml:space="preserve"> </w:t>
      </w:r>
    </w:p>
    <w:p>
      <w:pPr>
        <w:pStyle w:val="TableCaption"/>
      </w:pPr>
      <w:r>
        <w:t xml:space="preserve">Table 6: Rain Events Defined by Vertical Rack Sample Collection (corresponding to a threshold of 50 mm accumulation with 14-hour inter-event period)</w:t>
      </w:r>
    </w:p>
    <w:tbl>
      <w:tblPr>
        <w:tblStyle w:val="Table"/>
        <w:tblW w:type="pct" w:w="5000.0"/>
        <w:tblLook w:firstRow="1"/>
        <w:tblCaption w:val="Table 6: Rain Events Defined by Vertical Rack Sample Collection (corresponding to a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(Table</w:t>
      </w:r>
      <w:r>
        <w:t xml:space="preserve"> </w:t>
      </w:r>
      <w:r>
        <w:t xml:space="preserve">6</w:t>
      </w:r>
      <w:r>
        <w:t xml:space="preserve">).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with streamflow governed by snowmelt rather than rainfall during the period from late January (event 8, Table</w:t>
      </w:r>
      <w:r>
        <w:t xml:space="preserve"> </w:t>
      </w:r>
      <w:r>
        <w:t xml:space="preserve">6</w:t>
      </w:r>
      <w:r>
        <w:t xml:space="preserve">) to mid-May 2019. The dry sampling season spanned from mid-May to late-September 2019, and the 2019/2020 wet season began mid-September (event 9, Table</w:t>
      </w:r>
      <w:r>
        <w:t xml:space="preserve"> </w:t>
      </w:r>
      <w:r>
        <w:t xml:space="preserve">6</w:t>
      </w:r>
      <w:r>
        <w:t xml:space="preserve">) and extended to the end of the field study period (Feb 20, 2020).</w:t>
      </w:r>
    </w:p>
    <w:p>
      <w:pPr>
        <w:pStyle w:val="BodyText"/>
      </w:pPr>
      <w:r>
        <w:t xml:space="preserve"> </w:t>
      </w:r>
    </w:p>
    <w:p>
      <w:pPr>
        <w:pStyle w:val="CaptionedFigure"/>
      </w:pPr>
      <w:r>
        <w:drawing>
          <wp:inline>
            <wp:extent cx="5943600" cy="7641771"/>
            <wp:effectExtent b="0" l="0" r="0" t="0"/>
            <wp:docPr descr="Figure 5:  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 ‘first flush’ period indicates the first event and beginning of the 2019/2020 wet seas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w:t>
      </w:r>
      <w:r>
        <w:t xml:space="preserve"> </w:t>
      </w:r>
      <w:r>
        <w:t xml:space="preserve">‘</w:t>
      </w:r>
      <w:r>
        <w:t xml:space="preserve">first flush</w:t>
      </w:r>
      <w:r>
        <w:t xml:space="preserve">’</w:t>
      </w:r>
      <w:r>
        <w:t xml:space="preserve"> </w:t>
      </w:r>
      <w:r>
        <w:t xml:space="preserve">period indicates the first event and beginning of the 2019/2020 wet season.</w:t>
      </w:r>
    </w:p>
    <w:p>
      <w:pPr>
        <w:pStyle w:val="BodyText"/>
      </w:pPr>
      <w:r>
        <w:t xml:space="preserve"> </w:t>
      </w:r>
    </w:p>
    <w:p>
      <w:pPr>
        <w:pStyle w:val="Heading4"/>
      </w:pPr>
      <w:bookmarkStart w:id="60" w:name="X3d3391d95592755d7e277c23c5f0da103b0707e"/>
      <w:r>
        <w:t xml:space="preserve">NOM reactive character: SAC</w:t>
      </w:r>
      <w:r>
        <w:rPr>
          <w:vertAlign w:val="subscript"/>
        </w:rPr>
        <w:t xml:space="preserve">254</w:t>
      </w:r>
      <w:r>
        <w:t xml:space="preserve"> </w:t>
      </w:r>
      <w:r>
        <w:t xml:space="preserve">rather than SUVA</w:t>
      </w:r>
      <w:r>
        <w:rPr>
          <w:vertAlign w:val="subscript"/>
        </w:rPr>
        <w:t xml:space="preserve">254</w:t>
      </w:r>
      <w:bookmarkEnd w:id="60"/>
    </w:p>
    <w:p>
      <w:pPr>
        <w:pStyle w:val="FirstParagraph"/>
      </w:pPr>
      <w:r>
        <w:t xml:space="preserve">Comparison between disinfection byproduct formation potential (BDP-FP) with DOC, SUVA</w:t>
      </w:r>
      <w:r>
        <w:rPr>
          <w:vertAlign w:val="subscript"/>
        </w:rPr>
        <w:t xml:space="preserve">254</w:t>
      </w:r>
      <w:r>
        <w:t xml:space="preserve"> </w:t>
      </w:r>
      <w:r>
        <w:t xml:space="preserve">and SAC</w:t>
      </w:r>
      <w:r>
        <w:rPr>
          <w:vertAlign w:val="subscript"/>
        </w:rPr>
        <w:t xml:space="preserve">254</w:t>
      </w:r>
      <w:r>
        <w:t xml:space="preserve"> </w:t>
      </w:r>
      <w:r>
        <w:t xml:space="preserve">(Appendix #########) showed that SAC</w:t>
      </w:r>
      <w:r>
        <w:rPr>
          <w:vertAlign w:val="subscript"/>
        </w:rPr>
        <w:t xml:space="preserve">254</w:t>
      </w:r>
      <w:r>
        <w:t xml:space="preserve"> </w:t>
      </w:r>
      <w:r>
        <w:t xml:space="preserve">was a better correlated to DBP-FPs than was SUVA</w:t>
      </w:r>
      <w:r>
        <w:rPr>
          <w:vertAlign w:val="subscript"/>
        </w:rPr>
        <w:t xml:space="preserve">254</w:t>
      </w:r>
      <w:r>
        <w:t xml:space="preserve"> </w:t>
      </w:r>
      <w:r>
        <w:t xml:space="preserve">or DOC. Thus SUVA</w:t>
      </w:r>
      <w:r>
        <w:rPr>
          <w:vertAlign w:val="subscript"/>
        </w:rPr>
        <w:t xml:space="preserve">254</w:t>
      </w:r>
      <w:r>
        <w:t xml:space="preserve"> </w:t>
      </w:r>
      <w:r>
        <w:t xml:space="preserve">was largely omitted from results while SAC</w:t>
      </w:r>
      <w:r>
        <w:rPr>
          <w:vertAlign w:val="subscript"/>
        </w:rPr>
        <w:t xml:space="preserve">254</w:t>
      </w:r>
      <w:r>
        <w:t xml:space="preserve"> </w:t>
      </w:r>
      <w:r>
        <w:t xml:space="preserve">was included as an indicator of NOM aromaticity and reactivity.</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assumptions-of-mixing"/>
      <w:r>
        <w:t xml:space="preserve">Assumptions of mixing</w:t>
      </w:r>
      <w:bookmarkEnd w:id="62"/>
    </w:p>
    <w:p>
      <w:pPr>
        <w:pStyle w:val="FirstParagraph"/>
      </w:pPr>
      <w:r>
        <w:t xml:space="preserve">Trail cameras were installed at four sites (data not included here)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5046020"/>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5000.0"/>
        <w:tblLook w:firstRow="1"/>
        <w:tblCaption w:val="Table 7: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 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 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 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7</w:t>
      </w:r>
      <w:r>
        <w:t xml:space="preserve">) there was no real change in SAC</w:t>
      </w:r>
      <w:r>
        <w:rPr>
          <w:vertAlign w:val="subscript"/>
        </w:rPr>
        <w:t xml:space="preserve">254</w:t>
      </w:r>
      <w:r>
        <w:t xml:space="preserve"> </w:t>
      </w:r>
      <w:r>
        <w:t xml:space="preserve">for hold-time set B.</w:t>
      </w:r>
    </w:p>
    <w:p>
      <w:pPr>
        <w:pStyle w:val="BodyText"/>
      </w:pPr>
      <w:r>
        <w:t xml:space="preserve"> </w:t>
      </w:r>
    </w:p>
    <w:p>
      <w:pPr>
        <w:pStyle w:val="BodyText"/>
      </w:pPr>
      <w:r>
        <w:t xml:space="preserve">Hold-time set C included samples held for 34 days at an average of 4.4° C, including a period of sub-zero temperatures. While set 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 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foundational-results-summary"/>
      <w:r>
        <w:t xml:space="preserve">Foundational Results 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BodyText"/>
      </w:pPr>
      <w:r>
        <w:t xml:space="preserve">In future studies, more in-depth</w:t>
      </w:r>
      <w:r>
        <w:t xml:space="preserve"> </w:t>
      </w:r>
      <w:r>
        <w:t xml:space="preserve">‘</w:t>
      </w:r>
      <w:r>
        <w:t xml:space="preserve">discrete sample collection</w:t>
      </w:r>
      <w:r>
        <w:t xml:space="preserve">’</w:t>
      </w:r>
      <w:r>
        <w:t xml:space="preserve"> </w:t>
      </w:r>
      <w:r>
        <w:t xml:space="preserve">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pPr>
        <w:pStyle w:val="BodyText"/>
      </w:pPr>
      <w:r>
        <w:t xml:space="preserve"> </w:t>
      </w:r>
    </w:p>
    <w:p>
      <w:pPr>
        <w:pStyle w:val="Heading2"/>
      </w:pPr>
      <w:bookmarkStart w:id="67" w:name="X388ffc6f5894f330970e070a51d9a736afdaabe"/>
      <w:r>
        <w:t xml:space="preserve">Spatial and Temporal Patterns in NOM Concentration and Character Across the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FirstParagraph"/>
      </w:pPr>
      <w:r>
        <w:t xml:space="preserve">The methods defined in Chapter 2 were used to collect and analyze surface water samples across the twelve Greater Victoria water supply area sites (GVWSA, refer to Figure</w:t>
      </w:r>
      <w:r>
        <w:t xml:space="preserve"> </w:t>
      </w:r>
      <w:r>
        <w:t xml:space="preserve">2</w:t>
      </w:r>
      <w:r>
        <w:t xml:space="preserve"> </w:t>
      </w:r>
      <w:r>
        <w:t xml:space="preserve">for map). The objective was to describe spatial and temporal patterns and variation of natural organic matter (NOM) concentrations (as dissolved organic carbon, DOC) and spectral character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Additionally, sampling results were interpreted with the goal of clarifying the influence of seasonality on concentration and character of NOM.</w:t>
      </w:r>
    </w:p>
    <w:p>
      <w:pPr>
        <w:pStyle w:val="BodyText"/>
      </w:pPr>
      <w:r>
        <w:t xml:space="preserve"> </w:t>
      </w:r>
    </w:p>
    <w:p>
      <w:pPr>
        <w:pStyle w:val="Heading3"/>
      </w:pPr>
      <w:bookmarkStart w:id="69" w:name="methods"/>
      <w:r>
        <w:t xml:space="preserve">Methods</w:t>
      </w:r>
      <w:bookmarkEnd w:id="69"/>
    </w:p>
    <w:p>
      <w:pPr>
        <w:pStyle w:val="FirstParagraph"/>
      </w:pPr>
      <w:r>
        <w:t xml:space="preserve">All samples were collected by methods described in Chapter 2, and all data was flagged and filtered based on quality assurance described therein. Here, NOM is assessed based on concentrations of dissolved organic carbon (DOC) and character is indicated by SAC</w:t>
      </w:r>
      <w:r>
        <w:rPr>
          <w:vertAlign w:val="subscript"/>
        </w:rPr>
        <w:t xml:space="preserve">254</w:t>
      </w:r>
      <w:r>
        <w:t xml:space="preserve"> </w:t>
      </w:r>
      <w:r>
        <w:t xml:space="preserve">(reactivity &amp; aromaticity) and E</w:t>
      </w:r>
      <w:r>
        <w:rPr>
          <w:vertAlign w:val="subscript"/>
        </w:rPr>
        <w:t xml:space="preserve">2</w:t>
      </w:r>
      <w:r>
        <w:t xml:space="preserve">:E</w:t>
      </w:r>
      <w:r>
        <w:rPr>
          <w:vertAlign w:val="subscript"/>
        </w:rPr>
        <w:t xml:space="preserve">3</w:t>
      </w:r>
      <w:r>
        <w:t xml:space="preserve"> </w:t>
      </w:r>
      <w:r>
        <w:t xml:space="preserve">(molecular size &amp; aromaticity).</w:t>
      </w:r>
    </w:p>
    <w:p>
      <w:pPr>
        <w:pStyle w:val="BodyText"/>
      </w:pPr>
      <w:r>
        <w:t xml:space="preserve"> </w:t>
      </w:r>
    </w:p>
    <w:p>
      <w:pPr>
        <w:pStyle w:val="BodyText"/>
      </w:pPr>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sampling season (wet &amp; dry seasons). For shorter scale temporal pattern assessment, rising limb event-based Rack samples from the six monitoring sites in the Leech WSA were compared to inter-event sampling results (i.e. standard Grab samples).</w:t>
      </w:r>
    </w:p>
    <w:p>
      <w:pPr>
        <w:pStyle w:val="BodyText"/>
      </w:pPr>
      <w:r>
        <w:t xml:space="preserve"> </w:t>
      </w:r>
    </w:p>
    <w:p>
      <w:pPr>
        <w:pStyle w:val="Heading3"/>
      </w:pPr>
      <w:bookmarkStart w:id="70" w:name="results"/>
      <w:r>
        <w:t xml:space="preserve">Results</w:t>
      </w:r>
      <w:bookmarkEnd w:id="70"/>
    </w:p>
    <w:p>
      <w:pPr>
        <w:pStyle w:val="FirstParagraph"/>
      </w:pPr>
      <w:r>
        <w:t xml:space="preserve">From October 2018 to February 2020, across the GVWSA 426 river samples were collected and analyzed for DOC, and 318 of those samples were analyzed by UV-Vis for NOM character assessment (Table</w:t>
      </w:r>
      <w:r>
        <w:t xml:space="preserve"> </w:t>
      </w:r>
      <w:r>
        <w:t xml:space="preserve">8</w:t>
      </w:r>
      <w:r>
        <w:t xml:space="preserve">). Fewer samples were analyzed for UV-Vis properties than for DOC concentration due to method evolution at the start of the project and instrument-sharing limitations. Of the samples collected and analyzed, DOC data were reduced by 9.2% (to 387 samples) during Hold-time quality control checks (described in Chapter 2) and UV-Vis data were reduced by 19.5% (to 256 samples). Quality control resulted in a 9% reduction in UV-Vis data and an additional 10.5% was unfortunately lost during instrument maintenance. Analysis of calibration verification standards resulted in an average analytical accuracy of 10% (</w:t>
      </w:r>
      <w:r>
        <w:rPr>
          <w:i/>
        </w:rPr>
        <w:t xml:space="preserve">n</w:t>
      </w:r>
      <w:r>
        <w:t xml:space="preserve"> </w:t>
      </w:r>
      <w:r>
        <w:t xml:space="preserve">= 20).</w:t>
      </w:r>
    </w:p>
    <w:p>
      <w:pPr>
        <w:pStyle w:val="BodyText"/>
      </w:pPr>
      <w:r>
        <w:t xml:space="preserve"> </w:t>
      </w:r>
    </w:p>
    <w:p>
      <w:pPr>
        <w:pStyle w:val="TableCaption"/>
      </w:pPr>
      <w:r>
        <w:t xml:space="preserve">Table 8: Summary of Samples Collected and Number Included in Data Analysis</w:t>
      </w:r>
    </w:p>
    <w:tbl>
      <w:tblPr>
        <w:tblStyle w:val="Table"/>
        <w:tblW w:type="pct" w:w="5000.0"/>
        <w:tblLook w:firstRow="1"/>
        <w:tblCaption w:val="Table 8: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71" w:name="spatial-patterns"/>
      <w:r>
        <w:t xml:space="preserve">Spatial patterns</w:t>
      </w:r>
      <w:bookmarkEnd w:id="71"/>
    </w:p>
    <w:p>
      <w:pPr>
        <w:pStyle w:val="FirstParagraph"/>
      </w:pPr>
      <w:r>
        <w:t xml:space="preserve">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sampling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and their means (5.4 mg/L and 4.8 mg/L, respectively) were not unlike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 Between these two sites with the highest DOC variance, the West Leech – a monitoring site – was more heavily sampled than Rithet – a synoptic sampling site alone (Table</w:t>
      </w:r>
      <w:r>
        <w:t xml:space="preserve"> </w:t>
      </w:r>
      <w:r>
        <w:t xml:space="preserve">9</w:t>
      </w:r>
      <w:r>
        <w:t xml:space="preserve">).</w:t>
      </w:r>
    </w:p>
    <w:p>
      <w:pPr>
        <w:pStyle w:val="BodyText"/>
      </w:pPr>
      <w:r>
        <w:t xml:space="preserve"> </w:t>
      </w:r>
    </w:p>
    <w:p>
      <w:pPr>
        <w:pStyle w:val="BodyText"/>
      </w:pPr>
      <w:r>
        <w:t xml:space="preserve">Mean DOC concentrations were similar between Judge crk (8.33 km</w:t>
      </w:r>
      <w:r>
        <w:rPr>
          <w:vertAlign w:val="superscript"/>
        </w:rPr>
        <w:t xml:space="preserve">2</w:t>
      </w:r>
      <w:r>
        <w:t xml:space="preserve"> </w:t>
      </w:r>
      <w:r>
        <w:t xml:space="preserve">sub-basin) and Rithet crk, the Sooke WSA main tributaries (mean DOC of 5.7 ± 1.1 mg/L and 5.4 ± 3.9 mg/L, respectively).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w:t>
      </w:r>
      <w:r>
        <w:t xml:space="preserve"> </w:t>
      </w:r>
      <w:r>
        <w:t xml:space="preserve">9</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5000.0"/>
        <w:tblLook w:firstRow="1"/>
        <w:tblCaption w:val="Table 9: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Overall, DOC decreased from low-order headwater streams to higher-order downstream sites (Table</w:t>
      </w:r>
      <w:r>
        <w:t xml:space="preserve"> </w:t>
      </w:r>
      <w:r>
        <w:t xml:space="preserve">9</w:t>
      </w:r>
      <w:r>
        <w:t xml:space="preserve">, Figure</w:t>
      </w:r>
      <w:r>
        <w:t xml:space="preserve"> </w:t>
      </w:r>
      <w:r>
        <w:t xml:space="preserve">8</w:t>
      </w:r>
      <w:r>
        <w:t xml:space="preserve">). Like concentration, there was an overall reduction in NOM character (i.e. aromaticity, reactivity, and/or molecular size) from upstream to downstream sites (Table</w:t>
      </w:r>
      <w:r>
        <w:t xml:space="preserve"> </w:t>
      </w:r>
      <w:r>
        <w:t xml:space="preserve">10</w:t>
      </w:r>
      <w:r>
        <w:t xml:space="preserve">, Figure</w:t>
      </w:r>
      <w:r>
        <w:t xml:space="preserve"> </w:t>
      </w:r>
      <w:r>
        <w:t xml:space="preserve">8</w:t>
      </w:r>
      <w:r>
        <w:t xml:space="preserve">). The lowest absolute measurement for NOM aromaticity occurred at the Cragg crk site (minimum SAC</w:t>
      </w:r>
      <w:r>
        <w:rPr>
          <w:vertAlign w:val="subscript"/>
        </w:rPr>
        <w:t xml:space="preserve">254</w:t>
      </w:r>
      <w:r>
        <w:t xml:space="preserve"> </w:t>
      </w:r>
      <w:r>
        <w:t xml:space="preserve">4.69 m</w:t>
      </w:r>
      <w:r>
        <w:rPr>
          <w:vertAlign w:val="superscript"/>
        </w:rPr>
        <w:t xml:space="preserve">-1</w:t>
      </w:r>
      <w:r>
        <w:t xml:space="preserve">, maximum E</w:t>
      </w:r>
      <w:r>
        <w:rPr>
          <w:vertAlign w:val="subscript"/>
        </w:rPr>
        <w:t xml:space="preserve">2</w:t>
      </w:r>
      <w:r>
        <w:t xml:space="preserve">:E</w:t>
      </w:r>
      <w:r>
        <w:rPr>
          <w:vertAlign w:val="subscript"/>
        </w:rPr>
        <w:t xml:space="preserve">3</w:t>
      </w:r>
      <w:r>
        <w:t xml:space="preserve"> </w:t>
      </w:r>
      <w:r>
        <w:t xml:space="preserve">of 5.03). Cragg crk also had among the lowest mean aromaticity, though it tied with Judge crk (mean E</w:t>
      </w:r>
      <w:r>
        <w:rPr>
          <w:vertAlign w:val="subscript"/>
        </w:rPr>
        <w:t xml:space="preserve">2</w:t>
      </w:r>
      <w:r>
        <w:t xml:space="preserve">:E</w:t>
      </w:r>
      <w:r>
        <w:rPr>
          <w:vertAlign w:val="subscript"/>
        </w:rPr>
        <w:t xml:space="preserve">3</w:t>
      </w:r>
      <w:r>
        <w:t xml:space="preserve"> </w:t>
      </w:r>
      <w:r>
        <w:t xml:space="preserve">of 4.59), abd both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10</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10: Spectral Properties of Natural Organic Matter (NOM) Character Across Twelve Synoptically Sampled Sites in the Greater Victoria Water Supply Area</w:t>
      </w:r>
    </w:p>
    <w:tbl>
      <w:tblPr>
        <w:tblStyle w:val="Table"/>
        <w:tblW w:type="pct" w:w="5000.0"/>
        <w:tblLook w:firstRow="1"/>
        <w:tblCaption w:val="Table 10: Spectral Properties of Natural Organic Matter (NOM) Character Across Twelve Synoptically Sampled Sites in the Greater Victoria Water Supply Area"/>
      </w:tblPr>
      <w:tblGrid>
        <w:gridCol w:w="428"/>
        <w:gridCol w:w="1605"/>
        <w:gridCol w:w="214"/>
        <w:gridCol w:w="784"/>
        <w:gridCol w:w="356"/>
        <w:gridCol w:w="356"/>
        <w:gridCol w:w="784"/>
        <w:gridCol w:w="784"/>
        <w:gridCol w:w="891"/>
        <w:gridCol w:w="356"/>
        <w:gridCol w:w="356"/>
        <w:gridCol w:w="499"/>
        <w:gridCol w:w="4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Mean (m</w:t>
            </w:r>
            <w:r>
              <w:rPr>
                <w:vertAlign w:val="superscript"/>
              </w:rPr>
              <w:t xml:space="preserve">-1</w:t>
            </w:r>
            <w:r>
              <w:t xml:space="preserve">)</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Mean (unitless)</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2"/>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Leech WSA, where runoff from each nested catchment is integrated. Similarly, from a headwater’s perspective, runoff from the sub-basins of Weeks and Chris crk are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near-average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samples from 3rd order headwater stream samples; this is likely due to the greater variability at lower-order streams.</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3_DOC-boxplot_up-down_metcompar.png" id="0" name="Picture"/>
                    <pic:cNvPicPr>
                      <a:picLocks noChangeArrowheads="1" noChangeAspect="1"/>
                    </pic:cNvPicPr>
                  </pic:nvPicPr>
                  <pic:blipFill>
                    <a:blip r:embed="rId7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Heading4"/>
      </w:pPr>
      <w:bookmarkStart w:id="74" w:name="temporal-patterns-seasonal-changes"/>
      <w:r>
        <w:t xml:space="preserve">Temporal patterns &amp; seasonal changes</w:t>
      </w:r>
      <w:bookmarkEnd w:id="74"/>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3_DOC-loess-trend.png" id="0" name="Picture"/>
                    <pic:cNvPicPr>
                      <a:picLocks noChangeArrowheads="1" noChangeAspect="1"/>
                    </pic:cNvPicPr>
                  </pic:nvPicPr>
                  <pic:blipFill>
                    <a:blip r:embed="rId7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10</w:t>
      </w:r>
      <w:r>
        <w:t xml:space="preserve">, though it includes this data-sparse period, appears to match with the overall pattern observed in available data.</w:t>
      </w:r>
    </w:p>
    <w:p>
      <w:pPr>
        <w:pStyle w:val="BodyText"/>
      </w:pPr>
      <w:r>
        <w:t xml:space="preserve"> </w:t>
      </w:r>
    </w:p>
    <w:p>
      <w:pPr>
        <w:pStyle w:val="BodyText"/>
      </w:pPr>
      <w:r>
        <w:t xml:space="preserve">Despite DOC fluctuation over time, there was almost no difference between mean DOC concentrations during the wet and dry seasons (6.13 mg/L compared to 6.14 mg/L, Table</w:t>
      </w:r>
      <w:r>
        <w:t xml:space="preserve"> </w:t>
      </w:r>
      <w:r>
        <w:t xml:space="preserve">11</w:t>
      </w:r>
      <w:r>
        <w:t xml:space="preserve">).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 xml:space="preserve">254</w:t>
      </w:r>
      <w:r>
        <w:t xml:space="preserve"> </w:t>
      </w:r>
      <w:r>
        <w:t xml:space="preserve">values in wet season samples indicated greater NOM aromaticity and reactivity compared to dry season stream samples (Table</w:t>
      </w:r>
      <w:r>
        <w:t xml:space="preserve"> </w:t>
      </w:r>
      <w:r>
        <w:t xml:space="preserve">11</w:t>
      </w:r>
      <w:r>
        <w:t xml:space="preserve">). Concentration (as NPOC) was well correlated with SAC</w:t>
      </w:r>
      <w:r>
        <w:rPr>
          <w:vertAlign w:val="subscript"/>
        </w:rPr>
        <w:t xml:space="preserve">254</w:t>
      </w:r>
      <w:r>
        <w:t xml:space="preserve"> </w:t>
      </w:r>
      <w:r>
        <w:t xml:space="preserve">during the wet season (R</w:t>
      </w:r>
      <w:r>
        <w:rPr>
          <w:vertAlign w:val="superscript"/>
        </w:rPr>
        <w:t xml:space="preserve">2</w:t>
      </w:r>
      <w:r>
        <w:t xml:space="preserve"> </w:t>
      </w:r>
      <w:r>
        <w:t xml:space="preserve">= 0.896,</w:t>
      </w:r>
      <w:r>
        <w:t xml:space="preserve"> </w:t>
      </w:r>
      <w:r>
        <w:rPr>
          <w:i/>
        </w:rPr>
        <w:t xml:space="preserve">n</w:t>
      </w:r>
      <w:r>
        <w:t xml:space="preserve"> </w:t>
      </w:r>
      <w:r>
        <w:t xml:space="preserve">= 149) and during the transition from dry to wet seasons (first-flush event, R</w:t>
      </w:r>
      <w:r>
        <w:rPr>
          <w:vertAlign w:val="superscript"/>
        </w:rPr>
        <w:t xml:space="preserve">2</w:t>
      </w:r>
      <w:r>
        <w:t xml:space="preserve"> </w:t>
      </w:r>
      <w:r>
        <w:t xml:space="preserve">= 0.916,</w:t>
      </w:r>
      <w:r>
        <w:t xml:space="preserve"> </w:t>
      </w:r>
      <w:r>
        <w:rPr>
          <w:i/>
        </w:rPr>
        <w:t xml:space="preserve">n</w:t>
      </w:r>
      <w:r>
        <w:t xml:space="preserve"> </w:t>
      </w:r>
      <w:r>
        <w:t xml:space="preserve">= 14), but the relationship between DOC concentration and SAC</w:t>
      </w:r>
      <w:r>
        <w:rPr>
          <w:vertAlign w:val="subscript"/>
        </w:rPr>
        <w:t xml:space="preserve">254</w:t>
      </w:r>
      <w:r>
        <w:t xml:space="preserve"> </w:t>
      </w:r>
      <w:r>
        <w:t xml:space="preserve">was weak during the dry season (R</w:t>
      </w:r>
      <w:r>
        <w:rPr>
          <w:vertAlign w:val="superscript"/>
        </w:rPr>
        <w:t xml:space="preserve">2</w:t>
      </w:r>
      <w:r>
        <w:t xml:space="preserve"> </w:t>
      </w:r>
      <w:r>
        <w:t xml:space="preserve">= 0.396,</w:t>
      </w:r>
      <w:r>
        <w:t xml:space="preserve"> </w:t>
      </w:r>
      <w:r>
        <w:rPr>
          <w:i/>
        </w:rPr>
        <w:t xml:space="preserve">n</w:t>
      </w:r>
      <w:r>
        <w:t xml:space="preserve"> </w:t>
      </w:r>
      <w:r>
        <w:t xml:space="preserve">= 25).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w:t>
      </w:r>
      <w:r>
        <w:t xml:space="preserve"> </w:t>
      </w:r>
      <w:r>
        <w:t xml:space="preserve">11</w:t>
      </w:r>
      <w:r>
        <w:t xml:space="preserve">).</w:t>
      </w:r>
    </w:p>
    <w:p>
      <w:pPr>
        <w:pStyle w:val="BodyText"/>
      </w:pPr>
      <w:r>
        <w:t xml:space="preserve"> </w:t>
      </w:r>
    </w:p>
    <w:p>
      <w:pPr>
        <w:pStyle w:val="TableCaption"/>
      </w:pPr>
      <w:r>
        <w:t xml:space="preserve">Table 11: Sample Summary by Season for NOM Concentration (DOC) and Character (SAC</w:t>
      </w:r>
      <w:r>
        <w:rPr>
          <w:vertAlign w:val="subscript"/>
        </w:rPr>
        <w:t xml:space="preserve">254</w:t>
      </w:r>
      <w:r>
        <w:t xml:space="preserve">) from Twelve Synoptic Sampling Sites Across the Greater Victoria Water Supply Area</w:t>
      </w:r>
    </w:p>
    <w:tbl>
      <w:tblPr>
        <w:tblStyle w:val="Table"/>
        <w:tblW w:type="pct" w:w="4999.999999999999"/>
        <w:tblLook w:firstRow="1"/>
        <w:tblCaption w:val="Table 11: Sample Summary by Season for NOM Concentration (DOC) and Character (SAC254) from Twelve Synoptic Sampling Sites Across the Greater Victoria Water Supply Area"/>
      </w:tblPr>
      <w:tblGrid>
        <w:gridCol w:w="284"/>
        <w:gridCol w:w="603"/>
        <w:gridCol w:w="923"/>
        <w:gridCol w:w="568"/>
        <w:gridCol w:w="639"/>
        <w:gridCol w:w="568"/>
        <w:gridCol w:w="781"/>
        <w:gridCol w:w="1136"/>
        <w:gridCol w:w="781"/>
        <w:gridCol w:w="852"/>
        <w:gridCol w:w="781"/>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dry</w:t>
            </w:r>
          </w:p>
        </w:tc>
        <w:tc>
          <w:p>
            <w:pPr>
              <w:pStyle w:val="Compact"/>
              <w:jc w:val="right"/>
            </w:pPr>
            <w:r>
              <w:t xml:space="preserve">55</w:t>
            </w:r>
          </w:p>
        </w:tc>
        <w:tc>
          <w:p>
            <w:pPr>
              <w:pStyle w:val="Compact"/>
              <w:jc w:val="left"/>
            </w:pPr>
            <w:r>
              <w:t xml:space="preserve">6.13 ± 49%</w:t>
            </w:r>
          </w:p>
        </w:tc>
        <w:tc>
          <w:p>
            <w:pPr>
              <w:pStyle w:val="Compact"/>
              <w:jc w:val="right"/>
            </w:pPr>
            <w:r>
              <w:t xml:space="preserve">1.64</w:t>
            </w:r>
          </w:p>
        </w:tc>
        <w:tc>
          <w:p>
            <w:pPr>
              <w:pStyle w:val="Compact"/>
              <w:jc w:val="right"/>
            </w:pPr>
            <w:r>
              <w:t xml:space="preserve">6.07</w:t>
            </w:r>
          </w:p>
        </w:tc>
        <w:tc>
          <w:p>
            <w:pPr>
              <w:pStyle w:val="Compact"/>
              <w:jc w:val="right"/>
            </w:pPr>
            <w:r>
              <w:t xml:space="preserve">12.81</w:t>
            </w:r>
          </w:p>
        </w:tc>
        <w:tc>
          <w:p>
            <w:pPr>
              <w:pStyle w:val="Compact"/>
              <w:jc w:val="right"/>
            </w:pPr>
            <w:r>
              <w:t xml:space="preserve">25</w:t>
            </w:r>
          </w:p>
        </w:tc>
        <w:tc>
          <w:p>
            <w:pPr>
              <w:pStyle w:val="Compact"/>
              <w:jc w:val="left"/>
            </w:pPr>
            <w:r>
              <w:t xml:space="preserve">8.99 ± 63%</w:t>
            </w:r>
          </w:p>
        </w:tc>
        <w:tc>
          <w:p>
            <w:pPr>
              <w:pStyle w:val="Compact"/>
              <w:jc w:val="right"/>
            </w:pPr>
            <w:r>
              <w:t xml:space="preserve">4.69</w:t>
            </w:r>
          </w:p>
        </w:tc>
        <w:tc>
          <w:p>
            <w:pPr>
              <w:pStyle w:val="Compact"/>
              <w:jc w:val="right"/>
            </w:pPr>
            <w:r>
              <w:t xml:space="preserve">7.04</w:t>
            </w:r>
          </w:p>
        </w:tc>
        <w:tc>
          <w:p>
            <w:pPr>
              <w:pStyle w:val="Compact"/>
              <w:jc w:val="right"/>
            </w:pPr>
            <w:r>
              <w:t xml:space="preserve">27.73</w:t>
            </w:r>
          </w:p>
        </w:tc>
      </w:tr>
      <w:tr>
        <w:tc>
          <w:p>
            <w:pPr>
              <w:pStyle w:val="Compact"/>
              <w:jc w:val="left"/>
            </w:pPr>
            <w:r>
              <w:t xml:space="preserve">wet</w:t>
            </w:r>
          </w:p>
        </w:tc>
        <w:tc>
          <w:p>
            <w:pPr>
              <w:pStyle w:val="Compact"/>
              <w:jc w:val="right"/>
            </w:pPr>
            <w:r>
              <w:t xml:space="preserve">311</w:t>
            </w:r>
          </w:p>
        </w:tc>
        <w:tc>
          <w:p>
            <w:pPr>
              <w:pStyle w:val="Compact"/>
              <w:jc w:val="left"/>
            </w:pPr>
            <w:r>
              <w:t xml:space="preserve">6.14 ± 47%</w:t>
            </w:r>
          </w:p>
        </w:tc>
        <w:tc>
          <w:p>
            <w:pPr>
              <w:pStyle w:val="Compact"/>
              <w:jc w:val="right"/>
            </w:pPr>
            <w:r>
              <w:t xml:space="preserve">1.84</w:t>
            </w:r>
          </w:p>
        </w:tc>
        <w:tc>
          <w:p>
            <w:pPr>
              <w:pStyle w:val="Compact"/>
              <w:jc w:val="right"/>
            </w:pPr>
            <w:r>
              <w:t xml:space="preserve">5.60</w:t>
            </w:r>
          </w:p>
        </w:tc>
        <w:tc>
          <w:p>
            <w:pPr>
              <w:pStyle w:val="Compact"/>
              <w:jc w:val="right"/>
            </w:pPr>
            <w:r>
              <w:t xml:space="preserve">19.07</w:t>
            </w:r>
          </w:p>
        </w:tc>
        <w:tc>
          <w:p>
            <w:pPr>
              <w:pStyle w:val="Compact"/>
              <w:jc w:val="right"/>
            </w:pPr>
            <w:r>
              <w:t xml:space="preserve">139</w:t>
            </w:r>
          </w:p>
        </w:tc>
        <w:tc>
          <w:p>
            <w:pPr>
              <w:pStyle w:val="Compact"/>
              <w:jc w:val="left"/>
            </w:pPr>
            <w:r>
              <w:t xml:space="preserve">18.33 ± 44%</w:t>
            </w:r>
          </w:p>
        </w:tc>
        <w:tc>
          <w:p>
            <w:pPr>
              <w:pStyle w:val="Compact"/>
              <w:jc w:val="right"/>
            </w:pPr>
            <w:r>
              <w:t xml:space="preserve">6.85</w:t>
            </w:r>
          </w:p>
        </w:tc>
        <w:tc>
          <w:p>
            <w:pPr>
              <w:pStyle w:val="Compact"/>
              <w:jc w:val="right"/>
            </w:pPr>
            <w:r>
              <w:t xml:space="preserve">16.31</w:t>
            </w:r>
          </w:p>
        </w:tc>
        <w:tc>
          <w:p>
            <w:pPr>
              <w:pStyle w:val="Compact"/>
              <w:jc w:val="right"/>
            </w:pPr>
            <w:r>
              <w:t xml:space="preserve">41.66</w:t>
            </w:r>
          </w:p>
        </w:tc>
      </w:tr>
      <w:tr>
        <w:tc>
          <w:p>
            <w:pPr>
              <w:pStyle w:val="Compact"/>
              <w:jc w:val="left"/>
            </w:pPr>
            <w:r>
              <w:t xml:space="preserve">overall</w:t>
            </w:r>
          </w:p>
        </w:tc>
        <w:tc>
          <w:p>
            <w:pPr>
              <w:pStyle w:val="Compact"/>
              <w:jc w:val="right"/>
            </w:pPr>
            <w:r>
              <w:t xml:space="preserve">366</w:t>
            </w:r>
          </w:p>
        </w:tc>
        <w:tc>
          <w:p>
            <w:pPr>
              <w:pStyle w:val="Compact"/>
              <w:jc w:val="left"/>
            </w:pPr>
            <w:r>
              <w:t xml:space="preserve">6.14 ± 48%</w:t>
            </w:r>
          </w:p>
        </w:tc>
        <w:tc>
          <w:p>
            <w:pPr>
              <w:pStyle w:val="Compact"/>
              <w:jc w:val="right"/>
            </w:pPr>
            <w:r>
              <w:t xml:space="preserve">1.64</w:t>
            </w:r>
          </w:p>
        </w:tc>
        <w:tc>
          <w:p>
            <w:pPr>
              <w:pStyle w:val="Compact"/>
              <w:jc w:val="right"/>
            </w:pPr>
            <w:r>
              <w:t xml:space="preserve">5.70</w:t>
            </w:r>
          </w:p>
        </w:tc>
        <w:tc>
          <w:p>
            <w:pPr>
              <w:pStyle w:val="Compact"/>
              <w:jc w:val="right"/>
            </w:pPr>
            <w:r>
              <w:t xml:space="preserve">19.07</w:t>
            </w:r>
          </w:p>
        </w:tc>
        <w:tc>
          <w:p>
            <w:pPr>
              <w:pStyle w:val="Compact"/>
              <w:jc w:val="right"/>
            </w:pPr>
            <w:r>
              <w:t xml:space="preserve">164</w:t>
            </w:r>
          </w:p>
        </w:tc>
        <w:tc>
          <w:p>
            <w:pPr>
              <w:pStyle w:val="Compact"/>
              <w:jc w:val="left"/>
            </w:pPr>
            <w:r>
              <w:t xml:space="preserve">16.9 ± 50%</w:t>
            </w:r>
          </w:p>
        </w:tc>
        <w:tc>
          <w:p>
            <w:pPr>
              <w:pStyle w:val="Compact"/>
              <w:jc w:val="right"/>
            </w:pPr>
            <w:r>
              <w:t xml:space="preserve">4.69</w:t>
            </w:r>
          </w:p>
        </w:tc>
        <w:tc>
          <w:p>
            <w:pPr>
              <w:pStyle w:val="Compact"/>
              <w:jc w:val="right"/>
            </w:pPr>
            <w:r>
              <w:t xml:space="preserve">14.87</w:t>
            </w:r>
          </w:p>
        </w:tc>
        <w:tc>
          <w:p>
            <w:pPr>
              <w:pStyle w:val="Compact"/>
              <w:jc w:val="right"/>
            </w:pPr>
            <w:r>
              <w:t xml:space="preserve">41.66</w:t>
            </w:r>
          </w:p>
        </w:tc>
      </w:tr>
    </w:tbl>
    <w:p>
      <w:pPr>
        <w:pStyle w:val="BodyText"/>
      </w:pPr>
      <w:r>
        <w:t xml:space="preserve"> </w:t>
      </w:r>
    </w:p>
    <w:p>
      <w:pPr>
        <w:pStyle w:val="CaptionedFigure"/>
      </w:pPr>
      <w:r>
        <w:drawing>
          <wp:inline>
            <wp:extent cx="4128561" cy="4128561"/>
            <wp:effectExtent b="0" l="0" r="0" t="0"/>
            <wp:docPr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title="" id="1" name="Picture"/>
            <a:graphic>
              <a:graphicData uri="http://schemas.openxmlformats.org/drawingml/2006/picture">
                <pic:pic>
                  <pic:nvPicPr>
                    <pic:cNvPr descr="R-outputs_UBC-forWater-MSc_HMc/figures/Ch3_DOC-SAC254_seasonal_with-Inset.png" id="0" name="Picture"/>
                    <pic:cNvPicPr>
                      <a:picLocks noChangeArrowheads="1" noChangeAspect="1"/>
                    </pic:cNvPicPr>
                  </pic:nvPicPr>
                  <pic:blipFill>
                    <a:blip r:embed="rId76"/>
                    <a:stretch>
                      <a:fillRect/>
                    </a:stretch>
                  </pic:blipFill>
                  <pic:spPr bwMode="auto">
                    <a:xfrm>
                      <a:off x="0" y="0"/>
                      <a:ext cx="4128561" cy="4128561"/>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The inset plot shows DOC (as NPOC) plotted against DOC estimated by the spectro::lyser spectrophotometer through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w:t>
      </w:r>
      <w:r>
        <w:t xml:space="preserve"> </w:t>
      </w:r>
      <w:r>
        <w:t xml:space="preserve">11</w:t>
      </w:r>
      <w:r>
        <w:t xml:space="preserve">).</w:t>
      </w:r>
    </w:p>
    <w:p>
      <w:pPr>
        <w:pStyle w:val="BodyText"/>
      </w:pPr>
      <w:r>
        <w:t xml:space="preserve"> </w:t>
      </w:r>
    </w:p>
    <w:p>
      <w:pPr>
        <w:pStyle w:val="Heading5"/>
      </w:pPr>
      <w:bookmarkStart w:id="77" w:name="Xe4f5bba6f7a4df2f68c57ee11879d430ca418e6"/>
      <w:r>
        <w:t xml:space="preserve">Spatiotemporal patterns &amp; event-based sampling at six monitoring sites in the Leech watershed</w:t>
      </w:r>
      <w:bookmarkEnd w:id="77"/>
    </w:p>
    <w:p>
      <w:pPr>
        <w:pStyle w:val="FirstParagraph"/>
      </w:pPr>
      <w:r>
        <w:t xml:space="preserve"> </w:t>
      </w:r>
    </w:p>
    <w:p>
      <w:pPr>
        <w:pStyle w:val="BodyText"/>
      </w:pPr>
      <w:r>
        <w: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w:t>
      </w:r>
      <w:r>
        <w:t xml:space="preserve"> </w:t>
      </w:r>
      <w:r>
        <w:t xml:space="preserve">12</w:t>
      </w:r>
      <w:r>
        <w:t xml:space="preserve">). Across the six sites, event-based Rack samples contained higher NOM concentrations on average than Grab samples (6.8 mg/L compared to 5.2 mg/L DOC). Event-based samples also carried NOM with greater aromaticity and reactivity (21.37 m</w:t>
      </w:r>
      <w:r>
        <w:rPr>
          <w:vertAlign w:val="superscript"/>
        </w:rPr>
        <w:t xml:space="preserve">-1</w:t>
      </w:r>
      <w:r>
        <w:t xml:space="preserve">) compared to inter-event samples (17.03 m</w:t>
      </w:r>
      <w:r>
        <w:rPr>
          <w:vertAlign w:val="superscript"/>
        </w:rPr>
        <w:t xml:space="preserve">-1</w:t>
      </w:r>
      <w:r>
        <w:t xml:space="preserve">). A slightly greater variance (relative standard deviation, RSD) in both concentration and character was captured through Grab sampling (±53% DOC and ±44% for SAC</w:t>
      </w:r>
      <w:r>
        <w:rPr>
          <w:vertAlign w:val="subscript"/>
        </w:rPr>
        <w:t xml:space="preserve">254</w:t>
      </w:r>
      <w:r>
        <w:t xml:space="preserve">) compared to Rack sampling (±41% DOC and ±32% for SAC</w:t>
      </w:r>
      <w:r>
        <w:rPr>
          <w:vertAlign w:val="subscript"/>
        </w:rPr>
        <w:t xml:space="preserve">254</w:t>
      </w:r>
      <w:r>
        <w:t xml:space="preserve">).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 xml:space="preserve">254</w:t>
      </w:r>
      <w:r>
        <w:t xml:space="preserve"> </w:t>
      </w:r>
      <w:r>
        <w:t xml:space="preserve">was 18.92 m</w:t>
      </w:r>
      <w:r>
        <w:rPr>
          <w:vertAlign w:val="superscript"/>
        </w:rPr>
        <w:t xml:space="preserve">-1</w:t>
      </w:r>
      <w:r>
        <w:t xml:space="preserve"> </w:t>
      </w:r>
      <w:r>
        <w:t xml:space="preserve">(Table</w:t>
      </w:r>
      <w:r>
        <w:t xml:space="preserve"> </w:t>
      </w:r>
      <w:r>
        <w:t xml:space="preserve">12</w:t>
      </w:r>
      <w:r>
        <w:t xml:space="preserve">).</w:t>
      </w:r>
    </w:p>
    <w:p>
      <w:pPr>
        <w:pStyle w:val="BodyText"/>
      </w:pPr>
      <w:r>
        <w:t xml:space="preserve"> </w:t>
      </w:r>
    </w:p>
    <w:p>
      <w:pPr>
        <w:pStyle w:val="TableCaption"/>
      </w:pPr>
      <w:r>
        <w:t xml:space="preserve">Table 12: Wet Season Dissolved Organic Carbon (DOC) by Sample Collection Method at Six Monitoring Sites in the Leech Watershed</w:t>
      </w:r>
    </w:p>
    <w:tbl>
      <w:tblPr>
        <w:tblStyle w:val="Table"/>
        <w:tblW w:type="pct" w:w="5000.0"/>
        <w:tblLook w:firstRow="1"/>
        <w:tblCaption w:val="Table 12: Wet Season Dissolved Organic Carbon (DOC) by Sample Collection Method at Six Monitoring Sites in the Leech Watershed"/>
      </w:tblPr>
      <w:tblGrid>
        <w:gridCol w:w="418"/>
        <w:gridCol w:w="593"/>
        <w:gridCol w:w="907"/>
        <w:gridCol w:w="558"/>
        <w:gridCol w:w="628"/>
        <w:gridCol w:w="558"/>
        <w:gridCol w:w="767"/>
        <w:gridCol w:w="1116"/>
        <w:gridCol w:w="767"/>
        <w:gridCol w:w="837"/>
        <w:gridCol w:w="767"/>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Grab</w:t>
            </w:r>
          </w:p>
        </w:tc>
        <w:tc>
          <w:p>
            <w:pPr>
              <w:pStyle w:val="Compact"/>
              <w:jc w:val="right"/>
            </w:pPr>
            <w:r>
              <w:t xml:space="preserve">109</w:t>
            </w:r>
          </w:p>
        </w:tc>
        <w:tc>
          <w:p>
            <w:pPr>
              <w:pStyle w:val="Compact"/>
              <w:jc w:val="left"/>
            </w:pPr>
            <w:r>
              <w:t xml:space="preserve">5.22 ± 53%</w:t>
            </w:r>
          </w:p>
        </w:tc>
        <w:tc>
          <w:p>
            <w:pPr>
              <w:pStyle w:val="Compact"/>
              <w:jc w:val="right"/>
            </w:pPr>
            <w:r>
              <w:t xml:space="preserve">1.84</w:t>
            </w:r>
          </w:p>
        </w:tc>
        <w:tc>
          <w:p>
            <w:pPr>
              <w:pStyle w:val="Compact"/>
              <w:jc w:val="right"/>
            </w:pPr>
            <w:r>
              <w:t xml:space="preserve">4.37</w:t>
            </w:r>
          </w:p>
        </w:tc>
        <w:tc>
          <w:p>
            <w:pPr>
              <w:pStyle w:val="Compact"/>
              <w:jc w:val="right"/>
            </w:pPr>
            <w:r>
              <w:t xml:space="preserve">18.74</w:t>
            </w:r>
          </w:p>
        </w:tc>
        <w:tc>
          <w:p>
            <w:pPr>
              <w:pStyle w:val="Compact"/>
              <w:jc w:val="right"/>
            </w:pPr>
            <w:r>
              <w:t xml:space="preserve">62</w:t>
            </w:r>
          </w:p>
        </w:tc>
        <w:tc>
          <w:p>
            <w:pPr>
              <w:pStyle w:val="Compact"/>
              <w:jc w:val="left"/>
            </w:pPr>
            <w:r>
              <w:t xml:space="preserve">17.03 ± 44%</w:t>
            </w:r>
          </w:p>
        </w:tc>
        <w:tc>
          <w:p>
            <w:pPr>
              <w:pStyle w:val="Compact"/>
              <w:jc w:val="right"/>
            </w:pPr>
            <w:r>
              <w:t xml:space="preserve">7.39</w:t>
            </w:r>
          </w:p>
        </w:tc>
        <w:tc>
          <w:p>
            <w:pPr>
              <w:pStyle w:val="Compact"/>
              <w:jc w:val="right"/>
            </w:pPr>
            <w:r>
              <w:t xml:space="preserve">14.64</w:t>
            </w:r>
          </w:p>
        </w:tc>
        <w:tc>
          <w:p>
            <w:pPr>
              <w:pStyle w:val="Compact"/>
              <w:jc w:val="right"/>
            </w:pPr>
            <w:r>
              <w:t xml:space="preserve">37.07</w:t>
            </w:r>
          </w:p>
        </w:tc>
      </w:tr>
      <w:tr>
        <w:tc>
          <w:p>
            <w:pPr>
              <w:pStyle w:val="Compact"/>
              <w:jc w:val="left"/>
            </w:pPr>
            <w:r>
              <w:t xml:space="preserve">Rack</w:t>
            </w:r>
          </w:p>
        </w:tc>
        <w:tc>
          <w:p>
            <w:pPr>
              <w:pStyle w:val="Compact"/>
              <w:jc w:val="right"/>
            </w:pPr>
            <w:r>
              <w:t xml:space="preserve">170</w:t>
            </w:r>
          </w:p>
        </w:tc>
        <w:tc>
          <w:p>
            <w:pPr>
              <w:pStyle w:val="Compact"/>
              <w:jc w:val="left"/>
            </w:pPr>
            <w:r>
              <w:t xml:space="preserve">6.79 ± 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c>
          <w:p>
            <w:pPr>
              <w:pStyle w:val="Compact"/>
              <w:jc w:val="right"/>
            </w:pPr>
            <w:r>
              <w:t xml:space="preserve">48</w:t>
            </w:r>
          </w:p>
        </w:tc>
        <w:tc>
          <w:p>
            <w:pPr>
              <w:pStyle w:val="Compact"/>
              <w:jc w:val="left"/>
            </w:pPr>
            <w:r>
              <w:t xml:space="preserve">21.37 ± 32%</w:t>
            </w:r>
          </w:p>
        </w:tc>
        <w:tc>
          <w:p>
            <w:pPr>
              <w:pStyle w:val="Compact"/>
              <w:jc w:val="right"/>
            </w:pPr>
            <w:r>
              <w:t xml:space="preserve">10.25</w:t>
            </w:r>
          </w:p>
        </w:tc>
        <w:tc>
          <w:p>
            <w:pPr>
              <w:pStyle w:val="Compact"/>
              <w:jc w:val="right"/>
            </w:pPr>
            <w:r>
              <w:t xml:space="preserve">20.82</w:t>
            </w:r>
          </w:p>
        </w:tc>
        <w:tc>
          <w:p>
            <w:pPr>
              <w:pStyle w:val="Compact"/>
              <w:jc w:val="right"/>
            </w:pPr>
            <w:r>
              <w:t xml:space="preserve">39.82</w:t>
            </w:r>
          </w:p>
        </w:tc>
      </w:tr>
      <w:tr>
        <w:tc>
          <w:p>
            <w:pPr>
              <w:pStyle w:val="Compact"/>
              <w:jc w:val="left"/>
            </w:pPr>
            <w:r>
              <w:t xml:space="preserve">all</w:t>
            </w:r>
          </w:p>
        </w:tc>
        <w:tc>
          <w:p>
            <w:pPr>
              <w:pStyle w:val="Compact"/>
              <w:jc w:val="right"/>
            </w:pPr>
            <w:r>
              <w:t xml:space="preserve">279</w:t>
            </w:r>
          </w:p>
        </w:tc>
        <w:tc>
          <w:p>
            <w:pPr>
              <w:pStyle w:val="Compact"/>
              <w:jc w:val="left"/>
            </w:pPr>
            <w:r>
              <w:t xml:space="preserve">6.17 ± 47%</w:t>
            </w:r>
          </w:p>
        </w:tc>
        <w:tc>
          <w:p>
            <w:pPr>
              <w:pStyle w:val="Compact"/>
              <w:jc w:val="right"/>
            </w:pPr>
            <w:r>
              <w:t xml:space="preserve">1.84</w:t>
            </w:r>
          </w:p>
        </w:tc>
        <w:tc>
          <w:p>
            <w:pPr>
              <w:pStyle w:val="Compact"/>
              <w:jc w:val="right"/>
            </w:pPr>
            <w:r>
              <w:t xml:space="preserve">5.64</w:t>
            </w:r>
          </w:p>
        </w:tc>
        <w:tc>
          <w:p>
            <w:pPr>
              <w:pStyle w:val="Compact"/>
              <w:jc w:val="right"/>
            </w:pPr>
            <w:r>
              <w:t xml:space="preserve">19.07</w:t>
            </w:r>
          </w:p>
        </w:tc>
        <w:tc>
          <w:p>
            <w:pPr>
              <w:pStyle w:val="Compact"/>
              <w:jc w:val="right"/>
            </w:pPr>
            <w:r>
              <w:t xml:space="preserve">110</w:t>
            </w:r>
          </w:p>
        </w:tc>
        <w:tc>
          <w:p>
            <w:pPr>
              <w:pStyle w:val="Compact"/>
              <w:jc w:val="left"/>
            </w:pPr>
            <w:r>
              <w:t xml:space="preserve">18.92 ± 40%</w:t>
            </w:r>
          </w:p>
        </w:tc>
        <w:tc>
          <w:p>
            <w:pPr>
              <w:pStyle w:val="Compact"/>
              <w:jc w:val="right"/>
            </w:pPr>
            <w:r>
              <w:t xml:space="preserve">7.39</w:t>
            </w:r>
          </w:p>
        </w:tc>
        <w:tc>
          <w:p>
            <w:pPr>
              <w:pStyle w:val="Compact"/>
              <w:jc w:val="right"/>
            </w:pPr>
            <w:r>
              <w:t xml:space="preserve">16.84</w:t>
            </w:r>
          </w:p>
        </w:tc>
        <w:tc>
          <w:p>
            <w:pPr>
              <w:pStyle w:val="Compact"/>
              <w:jc w:val="right"/>
            </w:pPr>
            <w:r>
              <w:t xml:space="preserve">39.82</w:t>
            </w:r>
          </w:p>
        </w:tc>
      </w:tr>
    </w:tbl>
    <w:p>
      <w:pPr>
        <w:pStyle w:val="BodyText"/>
      </w:pPr>
      <w:r>
        <w:t xml:space="preserve"> </w:t>
      </w:r>
    </w:p>
    <w:p>
      <w:pPr>
        <w:pStyle w:val="BodyText"/>
      </w:pPr>
      <w:r>
        <w:t xml:space="preserve">Leech-head was the only site where the maximum DOC concentration was obtained by Grab sampling (11.6 mg/L), rather than Rack (max 10.6 mg/L). At all other monitoring sites, event-based samples collected by Vertical Racks had higher mean DOC compared to Grab samples (Table</w:t>
      </w:r>
      <w:r>
        <w:t xml:space="preserve"> </w:t>
      </w:r>
      <w:r>
        <w:t xml:space="preserve">13</w:t>
      </w:r>
      <w:r>
        <w:t xml:space="preserve">). For NOM character, Leech-head and Weeks crk both had slightly higher average aromaticity collected in Grab samples compared to Rack samples; at each of these two sites, the highest minimum concentration was collected by Grab sample (Table</w:t>
      </w:r>
      <w:r>
        <w:t xml:space="preserve"> </w:t>
      </w:r>
      <w:r>
        <w:t xml:space="preserve">13</w:t>
      </w:r>
      <w:r>
        <w:t xml:space="preserve">). The other four monitoring sites all showed greater aromaticity in Vertical Rack samples than in Grab samples.</w:t>
      </w:r>
    </w:p>
    <w:p>
      <w:pPr>
        <w:pStyle w:val="BodyText"/>
      </w:pPr>
      <w:r>
        <w:t xml:space="preserve">Weeks crk had the highest DOC and greatest aromaticity overall. Weeks had slightly higher concentrations occurring during stream rise (10.3 mg/L mean) compared to between events (9.3 mg/L mean). Meanwhile, SAC</w:t>
      </w:r>
      <w:r>
        <w:rPr>
          <w:vertAlign w:val="subscript"/>
        </w:rPr>
        <w:t xml:space="preserve">254</w:t>
      </w:r>
      <w:r>
        <w:t xml:space="preserve"> </w:t>
      </w:r>
      <w:r>
        <w:t xml:space="preserve">in Rack samples was lower with greater variability (28.7 m</w:t>
      </w:r>
      <w:r>
        <w:rPr>
          <w:vertAlign w:val="superscript"/>
        </w:rPr>
        <w:t xml:space="preserve">-1</w:t>
      </w:r>
      <w:r>
        <w:t xml:space="preserve"> </w:t>
      </w:r>
      <w:r>
        <w:t xml:space="preserve">± 47%) compared to Grab samples (33.0 m</w:t>
      </w:r>
      <w:r>
        <w:rPr>
          <w:vertAlign w:val="superscript"/>
        </w:rPr>
        <w:t xml:space="preserve">-1</w:t>
      </w:r>
      <w:r>
        <w:t xml:space="preserve"> </w:t>
      </w:r>
      <w:r>
        <w:t xml:space="preserve">± 9%). A similar pattern was seen downstream at Leech-head, where Rack samples had slightly lower and less consistent aromaticity (24.04 m</w:t>
      </w:r>
      <w:r>
        <w:rPr>
          <w:vertAlign w:val="superscript"/>
        </w:rPr>
        <w:t xml:space="preserve">-1</w:t>
      </w:r>
      <w:r>
        <w:t xml:space="preserve"> </w:t>
      </w:r>
      <w:r>
        <w:t xml:space="preserve">± 26%) than Grab samples (24.92 m</w:t>
      </w:r>
      <w:r>
        <w:rPr>
          <w:vertAlign w:val="superscript"/>
        </w:rPr>
        <w:t xml:space="preserve">-1</w:t>
      </w:r>
      <w:r>
        <w:t xml:space="preserve"> </w:t>
      </w:r>
      <w:r>
        <w:t xml:space="preserve">± 8%). The other sites showed greater aromaticity and higher variance in Rack samples than Grabs (Table</w:t>
      </w:r>
      <w:r>
        <w:t xml:space="preserve"> </w:t>
      </w:r>
      <w:r>
        <w:t xml:space="preserve">13</w:t>
      </w:r>
      <w:r>
        <w:t xml:space="preserve">). The difference observed at the Weeks crk site was likely due to inter-event flows being sustained by more aromatic water from this sub-basin’s wetlands and lake, and event flows being more dilute in character due to precipitation inputs.</w:t>
      </w:r>
    </w:p>
    <w:p>
      <w:pPr>
        <w:pStyle w:val="BodyText"/>
      </w:pPr>
      <w:r>
        <w:t xml:space="preserve">Interestingly, Rack sampling at Weeks crk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w:t>
      </w:r>
      <w:r>
        <w:t xml:space="preserve"> </w:t>
      </w:r>
      <w:r>
        <w:t xml:space="preserve">13</w:t>
      </w:r>
      <w:r>
        <w:t xml:space="preserve">, Figure</w:t>
      </w:r>
      <w:r>
        <w:t xml:space="preserve"> </w:t>
      </w:r>
      <w:r>
        <w:t xml:space="preserve">12</w:t>
      </w:r>
      <w:r>
        <w:t xml:space="preserve">).</w:t>
      </w:r>
    </w:p>
    <w:p>
      <w:pPr>
        <w:pStyle w:val="BodyText"/>
      </w:pPr>
      <w:r>
        <w:t xml:space="preserve"> </w:t>
      </w:r>
    </w:p>
    <w:p>
      <w:pPr>
        <w:pStyle w:val="TableCaption"/>
      </w:pPr>
      <w:r>
        <w:t xml:space="preserve">Table 13: Wet Season Stream NOM Concentration and Character (as DOC &amp; SAC</w:t>
      </w:r>
      <w:r>
        <w:rPr>
          <w:vertAlign w:val="subscript"/>
        </w:rPr>
        <w:t xml:space="preserve">254</w:t>
      </w:r>
      <w:r>
        <w:t xml:space="preserve">, respectively) by Sample Collection Method at Each of the Six Monitoring Sites in the Leech Watershed</w:t>
      </w:r>
    </w:p>
    <w:tbl>
      <w:tblPr>
        <w:tblStyle w:val="Table"/>
        <w:tblW w:type="pct" w:w="5000.0"/>
        <w:tblLook w:firstRow="1"/>
        <w:tblCaption w:val="Table 13: Wet Season Stream NOM Concentration and Character (as DOC &amp; SAC254, respectively) by Sample Collection Method at Each of the Six Monitoring Sites in the Leech Watershed"/>
      </w:tblPr>
      <w:tblGrid>
        <w:gridCol w:w="334"/>
        <w:gridCol w:w="401"/>
        <w:gridCol w:w="568"/>
        <w:gridCol w:w="868"/>
        <w:gridCol w:w="534"/>
        <w:gridCol w:w="601"/>
        <w:gridCol w:w="534"/>
        <w:gridCol w:w="735"/>
        <w:gridCol w:w="1069"/>
        <w:gridCol w:w="735"/>
        <w:gridCol w:w="802"/>
        <w:gridCol w:w="735"/>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left"/>
            </w:pPr>
            <w:r>
              <w:t xml:space="preserve">9.28 ± 35%</w:t>
            </w:r>
          </w:p>
        </w:tc>
        <w:tc>
          <w:p>
            <w:pPr>
              <w:pStyle w:val="Compact"/>
              <w:jc w:val="right"/>
            </w:pPr>
            <w:r>
              <w:t xml:space="preserve">6.38</w:t>
            </w:r>
          </w:p>
        </w:tc>
        <w:tc>
          <w:p>
            <w:pPr>
              <w:pStyle w:val="Compact"/>
              <w:jc w:val="right"/>
            </w:pPr>
            <w:r>
              <w:t xml:space="preserve">8.88</w:t>
            </w:r>
          </w:p>
        </w:tc>
        <w:tc>
          <w:p>
            <w:pPr>
              <w:pStyle w:val="Compact"/>
              <w:jc w:val="right"/>
            </w:pPr>
            <w:r>
              <w:t xml:space="preserve">18.74</w:t>
            </w:r>
          </w:p>
        </w:tc>
        <w:tc>
          <w:p>
            <w:pPr>
              <w:pStyle w:val="Compact"/>
              <w:jc w:val="right"/>
            </w:pPr>
            <w:r>
              <w:t xml:space="preserve">7</w:t>
            </w:r>
          </w:p>
        </w:tc>
        <w:tc>
          <w:p>
            <w:pPr>
              <w:pStyle w:val="Compact"/>
              <w:jc w:val="left"/>
            </w:pPr>
            <w:r>
              <w:t xml:space="preserve">33.04 ± 9%</w:t>
            </w:r>
          </w:p>
        </w:tc>
        <w:tc>
          <w:p>
            <w:pPr>
              <w:pStyle w:val="Compact"/>
              <w:jc w:val="right"/>
            </w:pPr>
            <w:r>
              <w:t xml:space="preserve">29.62</w:t>
            </w:r>
          </w:p>
        </w:tc>
        <w:tc>
          <w:p>
            <w:pPr>
              <w:pStyle w:val="Compact"/>
              <w:jc w:val="right"/>
            </w:pPr>
            <w:r>
              <w:t xml:space="preserve">34.31</w:t>
            </w:r>
          </w:p>
        </w:tc>
        <w:tc>
          <w:p>
            <w:pPr>
              <w:pStyle w:val="Compact"/>
              <w:jc w:val="right"/>
            </w:pPr>
            <w:r>
              <w:t xml:space="preserve">37.07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left"/>
            </w:pPr>
            <w:r>
              <w:t xml:space="preserve">10.25 ± 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c>
          <w:p>
            <w:pPr>
              <w:pStyle w:val="Compact"/>
              <w:jc w:val="right"/>
            </w:pPr>
            <w:r>
              <w:t xml:space="preserve">5</w:t>
            </w:r>
          </w:p>
        </w:tc>
        <w:tc>
          <w:p>
            <w:pPr>
              <w:pStyle w:val="Compact"/>
              <w:jc w:val="left"/>
            </w:pPr>
            <w:r>
              <w:t xml:space="preserve">28.73 ± 47%</w:t>
            </w:r>
          </w:p>
        </w:tc>
        <w:tc>
          <w:p>
            <w:pPr>
              <w:pStyle w:val="Compact"/>
              <w:jc w:val="right"/>
            </w:pPr>
            <w:r>
              <w:t xml:space="preserve">12.49</w:t>
            </w:r>
          </w:p>
        </w:tc>
        <w:tc>
          <w:p>
            <w:pPr>
              <w:pStyle w:val="Compact"/>
              <w:jc w:val="right"/>
            </w:pPr>
            <w:r>
              <w:t xml:space="preserve">37.28</w:t>
            </w:r>
          </w:p>
        </w:tc>
        <w:tc>
          <w:p>
            <w:pPr>
              <w:pStyle w:val="Compact"/>
              <w:jc w:val="right"/>
            </w:pPr>
            <w:r>
              <w:t xml:space="preserve">39.82</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left"/>
            </w:pPr>
            <w:r>
              <w:t xml:space="preserve">3.62 ± 55%</w:t>
            </w:r>
          </w:p>
        </w:tc>
        <w:tc>
          <w:p>
            <w:pPr>
              <w:pStyle w:val="Compact"/>
              <w:jc w:val="right"/>
            </w:pPr>
            <w:r>
              <w:t xml:space="preserve">1.84</w:t>
            </w:r>
          </w:p>
        </w:tc>
        <w:tc>
          <w:p>
            <w:pPr>
              <w:pStyle w:val="Compact"/>
              <w:jc w:val="right"/>
            </w:pPr>
            <w:r>
              <w:t xml:space="preserve">2.78</w:t>
            </w:r>
          </w:p>
        </w:tc>
        <w:tc>
          <w:p>
            <w:pPr>
              <w:pStyle w:val="Compact"/>
              <w:jc w:val="right"/>
            </w:pPr>
            <w:r>
              <w:t xml:space="preserve">9.04</w:t>
            </w:r>
          </w:p>
        </w:tc>
        <w:tc>
          <w:p>
            <w:pPr>
              <w:pStyle w:val="Compact"/>
              <w:jc w:val="right"/>
            </w:pPr>
            <w:r>
              <w:t xml:space="preserve">8</w:t>
            </w:r>
          </w:p>
        </w:tc>
        <w:tc>
          <w:p>
            <w:pPr>
              <w:pStyle w:val="Compact"/>
              <w:jc w:val="left"/>
            </w:pPr>
            <w:r>
              <w:t xml:space="preserve">10.34 ± 17%</w:t>
            </w:r>
          </w:p>
        </w:tc>
        <w:tc>
          <w:p>
            <w:pPr>
              <w:pStyle w:val="Compact"/>
              <w:jc w:val="right"/>
            </w:pPr>
            <w:r>
              <w:t xml:space="preserve">7.39</w:t>
            </w:r>
          </w:p>
        </w:tc>
        <w:tc>
          <w:p>
            <w:pPr>
              <w:pStyle w:val="Compact"/>
              <w:jc w:val="right"/>
            </w:pPr>
            <w:r>
              <w:t xml:space="preserve">10.26</w:t>
            </w:r>
          </w:p>
        </w:tc>
        <w:tc>
          <w:p>
            <w:pPr>
              <w:pStyle w:val="Compact"/>
              <w:jc w:val="right"/>
            </w:pPr>
            <w:r>
              <w:t xml:space="preserve">13.52</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left"/>
            </w:pPr>
            <w:r>
              <w:t xml:space="preserve">5.52 ± 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c>
          <w:p>
            <w:pPr>
              <w:pStyle w:val="Compact"/>
              <w:jc w:val="right"/>
            </w:pPr>
            <w:r>
              <w:t xml:space="preserve">7</w:t>
            </w:r>
          </w:p>
        </w:tc>
        <w:tc>
          <w:p>
            <w:pPr>
              <w:pStyle w:val="Compact"/>
              <w:jc w:val="left"/>
            </w:pPr>
            <w:r>
              <w:t xml:space="preserve">19.95 ± 32%</w:t>
            </w:r>
          </w:p>
        </w:tc>
        <w:tc>
          <w:p>
            <w:pPr>
              <w:pStyle w:val="Compact"/>
              <w:jc w:val="right"/>
            </w:pPr>
            <w:r>
              <w:t xml:space="preserve">10.25</w:t>
            </w:r>
          </w:p>
        </w:tc>
        <w:tc>
          <w:p>
            <w:pPr>
              <w:pStyle w:val="Compact"/>
              <w:jc w:val="right"/>
            </w:pPr>
            <w:r>
              <w:t xml:space="preserve">19.47</w:t>
            </w:r>
          </w:p>
        </w:tc>
        <w:tc>
          <w:p>
            <w:pPr>
              <w:pStyle w:val="Compact"/>
              <w:jc w:val="right"/>
            </w:pPr>
            <w:r>
              <w:t xml:space="preserve">30.72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left"/>
            </w:pPr>
            <w:r>
              <w:t xml:space="preserve">7.13 ± 27%</w:t>
            </w:r>
          </w:p>
        </w:tc>
        <w:tc>
          <w:p>
            <w:pPr>
              <w:pStyle w:val="Compact"/>
              <w:jc w:val="right"/>
            </w:pPr>
            <w:r>
              <w:t xml:space="preserve">4.87</w:t>
            </w:r>
          </w:p>
        </w:tc>
        <w:tc>
          <w:p>
            <w:pPr>
              <w:pStyle w:val="Compact"/>
              <w:jc w:val="right"/>
            </w:pPr>
            <w:r>
              <w:t xml:space="preserve">6.19</w:t>
            </w:r>
          </w:p>
        </w:tc>
        <w:tc>
          <w:p>
            <w:pPr>
              <w:pStyle w:val="Compact"/>
              <w:jc w:val="right"/>
            </w:pPr>
            <w:r>
              <w:t xml:space="preserve">11.64</w:t>
            </w:r>
          </w:p>
        </w:tc>
        <w:tc>
          <w:p>
            <w:pPr>
              <w:pStyle w:val="Compact"/>
              <w:jc w:val="right"/>
            </w:pPr>
            <w:r>
              <w:t xml:space="preserve">7</w:t>
            </w:r>
          </w:p>
        </w:tc>
        <w:tc>
          <w:p>
            <w:pPr>
              <w:pStyle w:val="Compact"/>
              <w:jc w:val="left"/>
            </w:pPr>
            <w:r>
              <w:t xml:space="preserve">24.92 ± 8%</w:t>
            </w:r>
          </w:p>
        </w:tc>
        <w:tc>
          <w:p>
            <w:pPr>
              <w:pStyle w:val="Compact"/>
              <w:jc w:val="right"/>
            </w:pPr>
            <w:r>
              <w:t xml:space="preserve">22.24</w:t>
            </w:r>
          </w:p>
        </w:tc>
        <w:tc>
          <w:p>
            <w:pPr>
              <w:pStyle w:val="Compact"/>
              <w:jc w:val="right"/>
            </w:pPr>
            <w:r>
              <w:t xml:space="preserve">25.02</w:t>
            </w:r>
          </w:p>
        </w:tc>
        <w:tc>
          <w:p>
            <w:pPr>
              <w:pStyle w:val="Compact"/>
              <w:jc w:val="right"/>
            </w:pPr>
            <w:r>
              <w:t xml:space="preserve">28.23</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left"/>
            </w:pPr>
            <w:r>
              <w:t xml:space="preserve">7.45 ± 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c>
          <w:p>
            <w:pPr>
              <w:pStyle w:val="Compact"/>
              <w:jc w:val="right"/>
            </w:pPr>
            <w:r>
              <w:t xml:space="preserve">6</w:t>
            </w:r>
          </w:p>
        </w:tc>
        <w:tc>
          <w:p>
            <w:pPr>
              <w:pStyle w:val="Compact"/>
              <w:jc w:val="left"/>
            </w:pPr>
            <w:r>
              <w:t xml:space="preserve">24.04 ± 26%</w:t>
            </w:r>
          </w:p>
        </w:tc>
        <w:tc>
          <w:p>
            <w:pPr>
              <w:pStyle w:val="Compact"/>
              <w:jc w:val="right"/>
            </w:pPr>
            <w:r>
              <w:t xml:space="preserve">11.69</w:t>
            </w:r>
          </w:p>
        </w:tc>
        <w:tc>
          <w:p>
            <w:pPr>
              <w:pStyle w:val="Compact"/>
              <w:jc w:val="right"/>
            </w:pPr>
            <w:r>
              <w:t xml:space="preserve">25.54</w:t>
            </w:r>
          </w:p>
        </w:tc>
        <w:tc>
          <w:p>
            <w:pPr>
              <w:pStyle w:val="Compact"/>
              <w:jc w:val="right"/>
            </w:pPr>
            <w:r>
              <w:t xml:space="preserve">29.03</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left"/>
            </w:pPr>
            <w:r>
              <w:t xml:space="preserve">4.1 ± 32%</w:t>
            </w:r>
          </w:p>
        </w:tc>
        <w:tc>
          <w:p>
            <w:pPr>
              <w:pStyle w:val="Compact"/>
              <w:jc w:val="right"/>
            </w:pPr>
            <w:r>
              <w:t xml:space="preserve">2.58</w:t>
            </w:r>
          </w:p>
        </w:tc>
        <w:tc>
          <w:p>
            <w:pPr>
              <w:pStyle w:val="Compact"/>
              <w:jc w:val="right"/>
            </w:pPr>
            <w:r>
              <w:t xml:space="preserve">3.64</w:t>
            </w:r>
          </w:p>
        </w:tc>
        <w:tc>
          <w:p>
            <w:pPr>
              <w:pStyle w:val="Compact"/>
              <w:jc w:val="right"/>
            </w:pPr>
            <w:r>
              <w:t xml:space="preserve">7.47</w:t>
            </w:r>
          </w:p>
        </w:tc>
        <w:tc>
          <w:p>
            <w:pPr>
              <w:pStyle w:val="Compact"/>
              <w:jc w:val="right"/>
            </w:pPr>
            <w:r>
              <w:t xml:space="preserve">16</w:t>
            </w:r>
          </w:p>
        </w:tc>
        <w:tc>
          <w:p>
            <w:pPr>
              <w:pStyle w:val="Compact"/>
              <w:jc w:val="left"/>
            </w:pPr>
            <w:r>
              <w:t xml:space="preserve">13.39 ± 30%</w:t>
            </w:r>
          </w:p>
        </w:tc>
        <w:tc>
          <w:p>
            <w:pPr>
              <w:pStyle w:val="Compact"/>
              <w:jc w:val="right"/>
            </w:pPr>
            <w:r>
              <w:t xml:space="preserve">8.73</w:t>
            </w:r>
          </w:p>
        </w:tc>
        <w:tc>
          <w:p>
            <w:pPr>
              <w:pStyle w:val="Compact"/>
              <w:jc w:val="right"/>
            </w:pPr>
            <w:r>
              <w:t xml:space="preserve">12.47</w:t>
            </w:r>
          </w:p>
        </w:tc>
        <w:tc>
          <w:p>
            <w:pPr>
              <w:pStyle w:val="Compact"/>
              <w:jc w:val="right"/>
            </w:pPr>
            <w:r>
              <w:t xml:space="preserve">24.00</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left"/>
            </w:pPr>
            <w:r>
              <w:t xml:space="preserve">5.26 ± 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c>
          <w:p>
            <w:pPr>
              <w:pStyle w:val="Compact"/>
              <w:jc w:val="right"/>
            </w:pPr>
            <w:r>
              <w:t xml:space="preserve">12</w:t>
            </w:r>
          </w:p>
        </w:tc>
        <w:tc>
          <w:p>
            <w:pPr>
              <w:pStyle w:val="Compact"/>
              <w:jc w:val="left"/>
            </w:pPr>
            <w:r>
              <w:t xml:space="preserve">17.98 ± 25%</w:t>
            </w:r>
          </w:p>
        </w:tc>
        <w:tc>
          <w:p>
            <w:pPr>
              <w:pStyle w:val="Compact"/>
              <w:jc w:val="right"/>
            </w:pPr>
            <w:r>
              <w:t xml:space="preserve">12.13</w:t>
            </w:r>
          </w:p>
        </w:tc>
        <w:tc>
          <w:p>
            <w:pPr>
              <w:pStyle w:val="Compact"/>
              <w:jc w:val="right"/>
            </w:pPr>
            <w:r>
              <w:t xml:space="preserve">17.10</w:t>
            </w:r>
          </w:p>
        </w:tc>
        <w:tc>
          <w:p>
            <w:pPr>
              <w:pStyle w:val="Compact"/>
              <w:jc w:val="right"/>
            </w:pPr>
            <w:r>
              <w:t xml:space="preserve">24.87</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left"/>
            </w:pPr>
            <w:r>
              <w:t xml:space="preserve">4.18 ± 45%</w:t>
            </w:r>
          </w:p>
        </w:tc>
        <w:tc>
          <w:p>
            <w:pPr>
              <w:pStyle w:val="Compact"/>
              <w:jc w:val="right"/>
            </w:pPr>
            <w:r>
              <w:t xml:space="preserve">2.33</w:t>
            </w:r>
          </w:p>
        </w:tc>
        <w:tc>
          <w:p>
            <w:pPr>
              <w:pStyle w:val="Compact"/>
              <w:jc w:val="right"/>
            </w:pPr>
            <w:r>
              <w:t xml:space="preserve">3.47</w:t>
            </w:r>
          </w:p>
        </w:tc>
        <w:tc>
          <w:p>
            <w:pPr>
              <w:pStyle w:val="Compact"/>
              <w:jc w:val="right"/>
            </w:pPr>
            <w:r>
              <w:t xml:space="preserve">9.08</w:t>
            </w:r>
          </w:p>
        </w:tc>
        <w:tc>
          <w:p>
            <w:pPr>
              <w:pStyle w:val="Compact"/>
              <w:jc w:val="right"/>
            </w:pPr>
            <w:r>
              <w:t xml:space="preserve">9</w:t>
            </w:r>
          </w:p>
        </w:tc>
        <w:tc>
          <w:p>
            <w:pPr>
              <w:pStyle w:val="Compact"/>
              <w:jc w:val="left"/>
            </w:pPr>
            <w:r>
              <w:t xml:space="preserve">14.6 ± 23%</w:t>
            </w:r>
          </w:p>
        </w:tc>
        <w:tc>
          <w:p>
            <w:pPr>
              <w:pStyle w:val="Compact"/>
              <w:jc w:val="right"/>
            </w:pPr>
            <w:r>
              <w:t xml:space="preserve">10.24</w:t>
            </w:r>
          </w:p>
        </w:tc>
        <w:tc>
          <w:p>
            <w:pPr>
              <w:pStyle w:val="Compact"/>
              <w:jc w:val="right"/>
            </w:pPr>
            <w:r>
              <w:t xml:space="preserve">15.35</w:t>
            </w:r>
          </w:p>
        </w:tc>
        <w:tc>
          <w:p>
            <w:pPr>
              <w:pStyle w:val="Compact"/>
              <w:jc w:val="right"/>
            </w:pPr>
            <w:r>
              <w:t xml:space="preserve">20.22</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left"/>
            </w:pPr>
            <w:r>
              <w:t xml:space="preserve">6.67 ± 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c>
          <w:p>
            <w:pPr>
              <w:pStyle w:val="Compact"/>
              <w:jc w:val="right"/>
            </w:pPr>
            <w:r>
              <w:t xml:space="preserve">6</w:t>
            </w:r>
          </w:p>
        </w:tc>
        <w:tc>
          <w:p>
            <w:pPr>
              <w:pStyle w:val="Compact"/>
              <w:jc w:val="left"/>
            </w:pPr>
            <w:r>
              <w:t xml:space="preserve">20.78 ± 29%</w:t>
            </w:r>
          </w:p>
        </w:tc>
        <w:tc>
          <w:p>
            <w:pPr>
              <w:pStyle w:val="Compact"/>
              <w:jc w:val="right"/>
            </w:pPr>
            <w:r>
              <w:t xml:space="preserve">14.53</w:t>
            </w:r>
          </w:p>
        </w:tc>
        <w:tc>
          <w:p>
            <w:pPr>
              <w:pStyle w:val="Compact"/>
              <w:jc w:val="right"/>
            </w:pPr>
            <w:r>
              <w:t xml:space="preserve">18.87</w:t>
            </w:r>
          </w:p>
        </w:tc>
        <w:tc>
          <w:p>
            <w:pPr>
              <w:pStyle w:val="Compact"/>
              <w:jc w:val="right"/>
            </w:pPr>
            <w:r>
              <w:t xml:space="preserve">31.18</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left"/>
            </w:pPr>
            <w:r>
              <w:t xml:space="preserve">4.28 ± 34%</w:t>
            </w:r>
          </w:p>
        </w:tc>
        <w:tc>
          <w:p>
            <w:pPr>
              <w:pStyle w:val="Compact"/>
              <w:jc w:val="right"/>
            </w:pPr>
            <w:r>
              <w:t xml:space="preserve">2.19</w:t>
            </w:r>
          </w:p>
        </w:tc>
        <w:tc>
          <w:p>
            <w:pPr>
              <w:pStyle w:val="Compact"/>
              <w:jc w:val="right"/>
            </w:pPr>
            <w:r>
              <w:t xml:space="preserve">3.71</w:t>
            </w:r>
          </w:p>
        </w:tc>
        <w:tc>
          <w:p>
            <w:pPr>
              <w:pStyle w:val="Compact"/>
              <w:jc w:val="right"/>
            </w:pPr>
            <w:r>
              <w:t xml:space="preserve">8.85</w:t>
            </w:r>
          </w:p>
        </w:tc>
        <w:tc>
          <w:p>
            <w:pPr>
              <w:pStyle w:val="Compact"/>
              <w:jc w:val="right"/>
            </w:pPr>
            <w:r>
              <w:t xml:space="preserve">15</w:t>
            </w:r>
          </w:p>
        </w:tc>
        <w:tc>
          <w:p>
            <w:pPr>
              <w:pStyle w:val="Compact"/>
              <w:jc w:val="left"/>
            </w:pPr>
            <w:r>
              <w:t xml:space="preserve">14.77 ± 15%</w:t>
            </w:r>
          </w:p>
        </w:tc>
        <w:tc>
          <w:p>
            <w:pPr>
              <w:pStyle w:val="Compact"/>
              <w:jc w:val="right"/>
            </w:pPr>
            <w:r>
              <w:t xml:space="preserve">11.08</w:t>
            </w:r>
          </w:p>
        </w:tc>
        <w:tc>
          <w:p>
            <w:pPr>
              <w:pStyle w:val="Compact"/>
              <w:jc w:val="right"/>
            </w:pPr>
            <w:r>
              <w:t xml:space="preserve">14.42</w:t>
            </w:r>
          </w:p>
        </w:tc>
        <w:tc>
          <w:p>
            <w:pPr>
              <w:pStyle w:val="Compact"/>
              <w:jc w:val="right"/>
            </w:pPr>
            <w:r>
              <w:t xml:space="preserve">19.02</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left"/>
            </w:pPr>
            <w:r>
              <w:t xml:space="preserve">5.6 ± 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c>
          <w:p>
            <w:pPr>
              <w:pStyle w:val="Compact"/>
              <w:jc w:val="right"/>
            </w:pPr>
            <w:r>
              <w:t xml:space="preserve">12</w:t>
            </w:r>
          </w:p>
        </w:tc>
        <w:tc>
          <w:p>
            <w:pPr>
              <w:pStyle w:val="Compact"/>
              <w:jc w:val="left"/>
            </w:pPr>
            <w:r>
              <w:t xml:space="preserve">21.47 ± 21%</w:t>
            </w:r>
          </w:p>
        </w:tc>
        <w:tc>
          <w:p>
            <w:pPr>
              <w:pStyle w:val="Compact"/>
              <w:jc w:val="right"/>
            </w:pPr>
            <w:r>
              <w:t xml:space="preserve">14.29</w:t>
            </w:r>
          </w:p>
        </w:tc>
        <w:tc>
          <w:p>
            <w:pPr>
              <w:pStyle w:val="Compact"/>
              <w:jc w:val="right"/>
            </w:pPr>
            <w:r>
              <w:t xml:space="preserve">21.34</w:t>
            </w:r>
          </w:p>
        </w:tc>
        <w:tc>
          <w:p>
            <w:pPr>
              <w:pStyle w:val="Compact"/>
              <w:jc w:val="right"/>
            </w:pPr>
            <w:r>
              <w:t xml:space="preserve">27.49</w:t>
            </w:r>
          </w:p>
        </w:tc>
      </w:tr>
    </w:tbl>
    <w:p>
      <w:pPr>
        <w:pStyle w:val="BodyText"/>
      </w:pPr>
      <w:r>
        <w:t xml:space="preserve"> </w:t>
      </w:r>
    </w:p>
    <w:p>
      <w:pPr>
        <w:pStyle w:val="CaptionedFigure"/>
      </w:pPr>
      <w:r>
        <w:drawing>
          <wp:inline>
            <wp:extent cx="5943600" cy="3820885"/>
            <wp:effectExtent b="0" l="0" r="0" t="0"/>
            <wp:docPr descr="Figure 12:  Wet season NOM concentration and character from six monitoring sites, comparing samples collected by Vertical Racks (event-based) and standard synoptic Grab sampling. Plot A shows concentration (as dissolved organic carbon (DOC) and plot B shows spectral absorbance coeffisient values at 254 nm (SAC254) which indicates aromaticity and reactivity." title="" id="1" name="Picture"/>
            <a:graphic>
              <a:graphicData uri="http://schemas.openxmlformats.org/drawingml/2006/picture">
                <pic:pic>
                  <pic:nvPicPr>
                    <pic:cNvPr descr="R-outputs_UBC-forWater-MSc_HMc/figures/Ch3_subbasin_GvsR_WETseason-ridgeplot.png" id="0" name="Picture"/>
                    <pic:cNvPicPr>
                      <a:picLocks noChangeArrowheads="1" noChangeAspect="1"/>
                    </pic:cNvPicPr>
                  </pic:nvPicPr>
                  <pic:blipFill>
                    <a:blip r:embed="rId7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Wet season NOM concentration and character from six monitoring sites, comparing samples collected by Vertical Racks (event-based) and standard synoptic Grab sampling. Plot A shows concentration (as dissolved organic carbon (DOC) and plot B shows spectral absorbance coeffisient values at 254 nm (SAC</w:t>
      </w:r>
      <w:r>
        <w:rPr>
          <w:vertAlign w:val="subscript"/>
        </w:rPr>
        <w:t xml:space="preserve">254</w:t>
      </w:r>
      <w:r>
        <w:t xml:space="preserve">) which indicates aromaticity and reactivity.</w:t>
      </w:r>
    </w:p>
    <w:p>
      <w:pPr>
        <w:pStyle w:val="BodyText"/>
      </w:pPr>
      <w:r>
        <w:t xml:space="preserve"> </w:t>
      </w:r>
    </w:p>
    <w:p>
      <w:pPr>
        <w:pStyle w:val="BodyText"/>
      </w:pPr>
      <w:r>
        <w:t xml:space="preserve"> </w:t>
      </w:r>
    </w:p>
    <w:p>
      <w:pPr>
        <w:pStyle w:val="Heading3"/>
      </w:pPr>
      <w:bookmarkStart w:id="79" w:name="discussion"/>
      <w:r>
        <w:t xml:space="preserve">Discussion</w:t>
      </w:r>
      <w:bookmarkEnd w:id="79"/>
    </w:p>
    <w:p>
      <w:pPr>
        <w:pStyle w:val="FirstParagraph"/>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 (</w:t>
      </w:r>
      <w:hyperlink w:anchor="ref-Yang2015">
        <w:r>
          <w:rPr>
            <w:rStyle w:val="Hyperlink"/>
          </w:rPr>
          <w:t xml:space="preserve">2015</w:t>
        </w:r>
      </w:hyperlink>
      <w:r>
        <w:t xml:space="preserve">)</w:t>
      </w:r>
      <w:r>
        <w:t xml:space="preserve">;</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While higher mean DOC was observed in event-based samples, they did not have greater variance compared to Grab samples, which was surprising. So it seems that hydrologic pulses transported higher concentrations which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collected when compared to Grab sampling alone. Therefore, the Vertical Rack method was a useful tool for collection of event-based samples with increased sampling frequency.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Heading4"/>
      </w:pPr>
      <w:bookmarkStart w:id="80" w:name="spatial-patterns-1"/>
      <w:r>
        <w:t xml:space="preserve">Spatial patterns</w:t>
      </w:r>
      <w:bookmarkEnd w:id="80"/>
    </w:p>
    <w:p>
      <w:pPr>
        <w:pStyle w:val="FirstParagraph"/>
      </w:pPr>
      <w:r>
        <w:t xml:space="preserve">Spatially, lower DOC was observed in the streams draining from the east of the Leech WSA catchment (Cragg and Chris crks) and higher DOC was observed in the streams draining from the west (West Leech and Weeks crk).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w:t>
      </w:r>
    </w:p>
    <w:p>
      <w:pPr>
        <w:pStyle w:val="BodyText"/>
      </w:pPr>
      <w:r>
        <w:t xml:space="preserve"> </w:t>
      </w:r>
    </w:p>
    <w:p>
      <w:pPr>
        <w:pStyle w:val="BodyText"/>
      </w:pPr>
      <w:r>
        <w:t xml:space="preserve">It seems that hydrologic pulses in the West Leech sub-basin created notably different NOM transport than non-stormflow, suggesting that theories of the pulse shunt concept could be particularly relevant in the West Leech sub-basin. Samples from the West Leech site had high aromaticity compared to other higher-order streams, and showed considerable event-based changes in NOM concentration (45% difference between Grab and Rack samples) relative to the other monitoring sites; but it’s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(wark gneiss). Chapter 4 evaluates watershed features and conditions to identify possible drivers that could explain differenced between site’s NOM dynamics.</w:t>
      </w:r>
    </w:p>
    <w:p>
      <w:pPr>
        <w:pStyle w:val="BodyText"/>
      </w:pPr>
      <w:r>
        <w:t xml:space="preserve"> </w:t>
      </w:r>
    </w:p>
    <w:p>
      <w:pPr>
        <w:pStyle w:val="BodyText"/>
      </w:pPr>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 xml:space="preserve">254</w:t>
      </w:r>
      <w:r>
        <w:t xml:space="preserve"> </w:t>
      </w:r>
      <w:r>
        <w:t xml:space="preserve">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Heading4"/>
      </w:pPr>
      <w:bookmarkStart w:id="81" w:name="temporal-patterns"/>
      <w:r>
        <w:t xml:space="preserve">Temporal patterns</w:t>
      </w:r>
      <w:bookmarkEnd w:id="81"/>
    </w:p>
    <w:p>
      <w:pPr>
        <w:pStyle w:val="FirstParagraph"/>
      </w:pPr>
      <w:r>
        <w:t xml:space="preserve"> </w:t>
      </w:r>
    </w:p>
    <w:p>
      <w:pPr>
        <w:pStyle w:val="BodyText"/>
      </w:pPr>
      <w:r>
        <w:t xml:space="preserve">While the absolute magnitude of DOC varied between sites, DOC concentrations across the GVWSA followed a near-sinusoidal pattern over time. DOC was highest in the early wet season, then progressively decreased with lows during the coldest periods. DOC concentrations increased over the summer, reaching highs for the start of the wet season. Overall, there was negligible difference in NOM concentrations between seasons; both wet and dry seasons had mean DOC of 6 ± 3 mg/L . Overall, stream DOC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However, reservoir dynamics would likely alter the concentration and character of stream DOC prior to intake for drinking water treatment.</w:t>
      </w:r>
    </w:p>
    <w:p>
      <w:pPr>
        <w:pStyle w:val="BodyText"/>
      </w:pPr>
      <w:r>
        <w:t xml:space="preserve"> </w:t>
      </w:r>
    </w:p>
    <w:p>
      <w:pPr>
        <w:pStyle w:val="BodyText"/>
      </w:pPr>
      <w:r>
        <w:t xml:space="preserve">While concentrations remained similar on average over seasons, NOM character was considerably more aromatic in the wet season (18.33 m</w:t>
      </w:r>
      <w:r>
        <w:rPr>
          <w:vertAlign w:val="superscript"/>
        </w:rPr>
        <w:t xml:space="preserve">-1</w:t>
      </w:r>
      <w:r>
        <w:t xml:space="preserve"> </w:t>
      </w:r>
      <w:r>
        <w:t xml:space="preserve">± 44%) than in the dry season (8.99 m</w:t>
      </w:r>
      <w:r>
        <w:rPr>
          <w:vertAlign w:val="superscript"/>
        </w:rPr>
        <w:t xml:space="preserve">-1</w:t>
      </w:r>
      <w:r>
        <w:t xml:space="preserve"> </w:t>
      </w:r>
      <w:r>
        <w:t xml:space="preserve">± 63%). Seasonal changes in the relationship between DOC and SAC</w:t>
      </w:r>
      <w:r>
        <w:rPr>
          <w:vertAlign w:val="subscript"/>
        </w:rPr>
        <w:t xml:space="preserve">254</w:t>
      </w:r>
      <w:r>
        <w:t xml:space="preserve"> </w:t>
      </w:r>
      <w:r>
        <w:t xml:space="preserve">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82" w:name="conclusions-and-future-directions"/>
      <w:r>
        <w:t xml:space="preserve">Conclusions and future directions</w:t>
      </w:r>
      <w:bookmarkEnd w:id="82"/>
    </w:p>
    <w:p>
      <w:pPr>
        <w:pStyle w:val="FirstParagraph"/>
      </w:pPr>
      <w:r>
        <w:t xml:space="preserve">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83" w:name="Xc55b7e7eb80d04b23b96f83abe7ecba51a07d0c"/>
      <w:r>
        <w:t xml:space="preserve">Assessing Watershed Characteristics and Conditions as Driving Forces for Aqueous Natural Organic Matter Dynamics Across the Leech River Watershed</w:t>
      </w:r>
      <w:bookmarkEnd w:id="83"/>
    </w:p>
    <w:p>
      <w:pPr>
        <w:pStyle w:val="FirstParagraph"/>
      </w:pPr>
      <w:r>
        <w:t xml:space="preserve"> </w:t>
      </w:r>
    </w:p>
    <w:p>
      <w:pPr>
        <w:pStyle w:val="Heading3"/>
      </w:pPr>
      <w:bookmarkStart w:id="84" w:name="synopsis-introduction"/>
      <w:r>
        <w:t xml:space="preserve">Synopsis / Introduction</w:t>
      </w:r>
      <w:bookmarkEnd w:id="84"/>
    </w:p>
    <w:p>
      <w:pPr>
        <w:pStyle w:val="FirstParagraph"/>
      </w:pPr>
      <w:r>
        <w:t xml:space="preserve">The previous chapter showed that across the Greater Victoria Water Supply Area (GVWSA), the character of natural organic matter (NOM) shifted from aliphatic in the dry season to aromatic during the wet seasons. Additionally, Chapter 3 results confirmed that event-based Rack samples had higher DOC concentrations than standard Grab samples. The seasonal character shift agreed with predictions of the river continuum concept (RCC),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Elevated NOM in stormflow was expected (e.g. </w:t>
      </w:r>
      <w:r>
        <w:t xml:space="preserve">Vidon, Wagner, and Soyeux (</w:t>
      </w:r>
      <w:hyperlink w:anchor="ref-Vidon2008">
        <w:r>
          <w:rPr>
            <w:rStyle w:val="Hyperlink"/>
          </w:rPr>
          <w:t xml:space="preserve">2008</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and is a key aspect of the pulse-shunt concept</w:t>
      </w:r>
      <w:r>
        <w:t xml:space="preserve"> </w:t>
      </w:r>
      <w:r>
        <w:t xml:space="preserve">(Raymond et al.</w:t>
      </w:r>
      <w:r>
        <w:t xml:space="preserve"> </w:t>
      </w:r>
      <w:hyperlink w:anchor="ref-Raymond2016">
        <w:r>
          <w:rPr>
            <w:rStyle w:val="Hyperlink"/>
          </w:rPr>
          <w:t xml:space="preserve">2016</w:t>
        </w:r>
      </w:hyperlink>
      <w:r>
        <w:t xml:space="preserve">)</w:t>
      </w:r>
      <w:r>
        <w:t xml:space="preserve">.</w:t>
      </w:r>
    </w:p>
    <w:p>
      <w:pPr>
        <w:pStyle w:val="BodyText"/>
      </w:pPr>
      <w:r>
        <w:t xml:space="preserve"> </w:t>
      </w:r>
    </w:p>
    <w:p>
      <w:pPr>
        <w:pStyle w:val="BodyText"/>
      </w:pPr>
      <w:r>
        <w:t xml:space="preserve">Of the main tributaries to the Leech River mainstem, Cragg crk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km2 sub-basin) compared to other streams draining catchments of similar size (i.e. Leech-head, 20.59 km2 sub-basin; and Cragg crk 28.06 km2 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sub-basins</w:t>
      </w:r>
      <w:r>
        <w:t xml:space="preserve"> </w:t>
      </w:r>
      <w:r>
        <w:t xml:space="preserve">monitoring sites in the Leech WSA.</w:t>
      </w:r>
    </w:p>
    <w:p>
      <w:pPr>
        <w:pStyle w:val="BodyText"/>
      </w:pPr>
      <w:r>
        <w:t xml:space="preserve"> </w:t>
      </w:r>
    </w:p>
    <w:p>
      <w:pPr>
        <w:pStyle w:val="Heading4"/>
      </w:pPr>
      <w:bookmarkStart w:id="85" w:name="random-forests"/>
      <w:r>
        <w:t xml:space="preserve">Random Forests</w:t>
      </w:r>
      <w:bookmarkEnd w:id="85"/>
    </w:p>
    <w:p>
      <w:pPr>
        <w:pStyle w:val="FirstParagraph"/>
      </w:pPr>
      <w:r>
        <w:t xml:space="preserve"> </w:t>
      </w:r>
    </w:p>
    <w:p>
      <w:pPr>
        <w:pStyle w:val="BodyText"/>
      </w:pPr>
      <w:r>
        <w:t xml:space="preserve">A Random Forest is a collection of decision trees, which composes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or the increase in sum of square errors (SSE). The SSE method may be more appropriate for categorical variables than quantitative variables, for which MSE method appears to be more appropriate. Despite the ability of RF to handle non-independent real world data, mixing categorical and quantitative data has shown bias towards variables with many categories, many missing values, and strong cross-correlations among predictor variables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w:t>
      </w:r>
    </w:p>
    <w:p>
      <w:pPr>
        <w:pStyle w:val="BodyText"/>
      </w:pPr>
      <w:r>
        <w:t xml:space="preserve"> </w:t>
      </w:r>
    </w:p>
    <w:p>
      <w:pPr>
        <w:pStyle w:val="Heading4"/>
      </w:pPr>
      <w:bookmarkStart w:id="86" w:name="hysteresis"/>
      <w:r>
        <w:t xml:space="preserve">Hysteresis</w:t>
      </w:r>
      <w:bookmarkEnd w:id="86"/>
    </w:p>
    <w:p>
      <w:pPr>
        <w:pStyle w:val="FirstParagraph"/>
      </w:pPr>
      <w:r>
        <w:rPr>
          <w:i/>
        </w:rPr>
        <w:t xml:space="preserve">update this because it’s alluding to C-Q and you don’t have Q</w:t>
      </w:r>
    </w:p>
    <w:p>
      <w:pPr>
        <w:pStyle w:val="BodyText"/>
      </w:pPr>
      <w:r>
        <w:t xml:space="preserve">Storm events are understood to be a key driver for solute and particle mobilization in streams (e.g. </w:t>
      </w:r>
      <w:r>
        <w:t xml:space="preserve">Aguilera and Melack (</w:t>
      </w:r>
      <w:hyperlink w:anchor="ref-Aguilera2018">
        <w:r>
          <w:rPr>
            <w:rStyle w:val="Hyperlink"/>
          </w:rPr>
          <w:t xml:space="preserve">2018</w:t>
        </w:r>
      </w:hyperlink>
      <w:r>
        <w:t xml:space="preserve">)</w:t>
      </w:r>
      <w:r>
        <w:t xml:space="preserve">; …).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w:t>
      </w:r>
      <w:r>
        <w:t xml:space="preserve"> </w:t>
      </w:r>
      <w:r>
        <w:t xml:space="preserve">(Vaughan et al.</w:t>
      </w:r>
      <w:r>
        <w:t xml:space="preserve"> </w:t>
      </w:r>
      <w:hyperlink w:anchor="ref-Vaughan2019">
        <w:r>
          <w:rPr>
            <w:rStyle w:val="Hyperlink"/>
          </w:rPr>
          <w:t xml:space="preserve">2019</w:t>
        </w:r>
      </w:hyperlink>
      <w:r>
        <w:t xml:space="preserve">; 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Concentration-discharge hysteresis may be due to episodic flushing of material or from component mixing processes</w:t>
      </w:r>
      <w:r>
        <w:t xml:space="preserve"> </w:t>
      </w:r>
      <w:r>
        <w:t xml:space="preserve">(Evans and Davies</w:t>
      </w:r>
      <w:r>
        <w:t xml:space="preserve"> </w:t>
      </w:r>
      <w:hyperlink w:anchor="ref-Evans1998">
        <w:r>
          <w:rPr>
            <w:rStyle w:val="Hyperlink"/>
          </w:rPr>
          <w:t xml:space="preserve">1998</w:t>
        </w:r>
      </w:hyperlink>
      <w:r>
        <w:t xml:space="preserve">)</w:t>
      </w:r>
      <w:r>
        <w:t xml:space="preserve">. Information about flow-paths and source pools can be obtained from four elements of the C-Q relationship plot: the shape (linear, circular, figure-eight), the direction of a hysteresis loop, the magnitude, and the direction of slope</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Concentration-discharge relationships (C-Q) can elucidate flow-paths and aid in estimating proportional streamflow contributions (i.e. subsurface vs overland, or near-stream vs. upland)</w:t>
      </w:r>
      <w:r>
        <w:t xml:space="preserve"> </w:t>
      </w:r>
      <w:r>
        <w:t xml:space="preserve">(Evans, Davies, and Murdoch</w:t>
      </w:r>
      <w:r>
        <w:t xml:space="preserve"> </w:t>
      </w:r>
      <w:hyperlink w:anchor="ref-Evans1999">
        <w:r>
          <w:rPr>
            <w:rStyle w:val="Hyperlink"/>
          </w:rPr>
          <w:t xml:space="preserve">1999</w:t>
        </w:r>
      </w:hyperlink>
      <w:r>
        <w:t xml:space="preserve">)</w:t>
      </w:r>
      <w:r>
        <w:t xml:space="preserve">. C-Q can be used to determine whether a catchment’s solute export regime is chemostatic or chemodynamic</w:t>
      </w:r>
      <w:r>
        <w:t xml:space="preserve"> </w:t>
      </w:r>
      <w:r>
        <w:t xml:space="preserve">(Musolff et al.</w:t>
      </w:r>
      <w:r>
        <w:t xml:space="preserve"> </w:t>
      </w:r>
      <w:hyperlink w:anchor="ref-Musolff2015">
        <w:r>
          <w:rPr>
            <w:rStyle w:val="Hyperlink"/>
          </w:rPr>
          <w:t xml:space="preserve">2015</w:t>
        </w:r>
      </w:hyperlink>
      <w:r>
        <w:t xml:space="preserve">)</w:t>
      </w:r>
      <w:r>
        <w:t xml:space="preserve">. In an assessment of ~400 stream events in coastal California, Aguilera and Melack</w:t>
      </w:r>
      <w:r>
        <w:t xml:space="preserve"> </w:t>
      </w:r>
      <w:r>
        <w:t xml:space="preserve">(</w:t>
      </w:r>
      <w:hyperlink w:anchor="ref-Aguilera2018">
        <w:r>
          <w:rPr>
            <w:rStyle w:val="Hyperlink"/>
          </w:rPr>
          <w:t xml:space="preserve">2018</w:t>
        </w:r>
      </w:hyperlink>
      <w:r>
        <w:t xml:space="preserve">)</w:t>
      </w:r>
      <w:r>
        <w:t xml:space="preserve"> </w:t>
      </w:r>
      <w:r>
        <w:t xml:space="preserve">found that sediment-associated concentrations peaked during high flows but dissolved nitrogen species concentrations had hysteretic behaviour with flow, the direction of which differed depending on land-use.</w:t>
      </w:r>
    </w:p>
    <w:p>
      <w:pPr>
        <w:pStyle w:val="BodyText"/>
      </w:pPr>
      <w:r>
        <w:t xml:space="preserve"> </w:t>
      </w:r>
    </w:p>
    <w:p>
      <w:pPr>
        <w:pStyle w:val="BodyText"/>
      </w:pPr>
      <w:r>
        <w:t xml:space="preserve">Dominant sources and flow paths during events can be inferred from the slope (positive or negative) and the direction of the hysteresis loop rotation</w:t>
      </w:r>
      <w:r>
        <w:t xml:space="preserve"> </w:t>
      </w:r>
      <w:r>
        <w:t xml:space="preserve">(Evans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Evans et al. </w:t>
      </w:r>
      <w:r>
        <w:t xml:space="preserve">(</w:t>
      </w:r>
      <w:hyperlink w:anchor="ref-Evans1999">
        <w:r>
          <w:rPr>
            <w:rStyle w:val="Hyperlink"/>
          </w:rPr>
          <w:t xml:space="preserve">1999</w:t>
        </w:r>
      </w:hyperlink>
      <w:r>
        <w:t xml:space="preserve">)</w:t>
      </w:r>
      <w:r>
        <w:t xml:space="preserve"> </w:t>
      </w:r>
      <w:r>
        <w:t xml:space="preserve">determined that C-Q analysis requires a minimum of five samples to determine the rotational direction of hysteresis: pre and post episode low-flow, rising and falling limbs and near to peak Q.</w:t>
      </w:r>
    </w:p>
    <w:p>
      <w:pPr>
        <w:pStyle w:val="BodyText"/>
      </w:pPr>
      <w:r>
        <w:t xml:space="preserve"> </w:t>
      </w:r>
    </w:p>
    <w:p>
      <w:pPr>
        <w:pStyle w:val="BodyText"/>
      </w:pPr>
      <w:r>
        <w:t xml:space="preserve">Using end-member mixing, with hydrometric monitoring and carbon isotope (δ</w:t>
      </w:r>
      <w:r>
        <w:rPr>
          <w:vertAlign w:val="superscript"/>
        </w:rPr>
        <w:t xml:space="preserve">13</w:t>
      </w:r>
      <w:r>
        <w:t xml:space="preserve">C</w:t>
      </w:r>
      <w:r>
        <w:rPr>
          <w:vertAlign w:val="subscript"/>
        </w:rPr>
        <w:t xml:space="preserve">DOC</w:t>
      </w:r>
      <w:r>
        <w:t xml:space="preserve">) data, Lambert et al. </w:t>
      </w:r>
      <w:r>
        <w:t xml:space="preserve">(</w:t>
      </w:r>
      <w:hyperlink w:anchor="ref-Lambert2014">
        <w:r>
          <w:rPr>
            <w:rStyle w:val="Hyperlink"/>
          </w:rPr>
          <w:t xml:space="preserve">2014</w:t>
        </w:r>
      </w:hyperlink>
      <w:r>
        <w:t xml:space="preserve">)</w:t>
      </w:r>
      <w:r>
        <w:t xml:space="preserve"> </w:t>
      </w:r>
      <w:r>
        <w:t xml:space="preserve">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r>
        <w:t xml:space="preserve">(</w:t>
      </w:r>
      <w:hyperlink w:anchor="ref-Lambert2014">
        <w:r>
          <w:rPr>
            <w:rStyle w:val="Hyperlink"/>
          </w:rPr>
          <w:t xml:space="preserve">2014</w:t>
        </w:r>
      </w:hyperlink>
      <w:r>
        <w:t xml:space="preserve">)</w:t>
      </w:r>
      <w:r>
        <w:t xml:space="preserve"> </w:t>
      </w:r>
      <w:r>
        <w:t xml:space="preserve">also found that upland sources contributed most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ANTECEDENT CONDITIONS….</w:t>
      </w:r>
    </w:p>
    <w:p>
      <w:pPr>
        <w:pStyle w:val="BodyText"/>
      </w:pPr>
      <w:r>
        <w:t xml:space="preserve"> </w:t>
      </w:r>
    </w:p>
    <w:p>
      <w:pPr>
        <w:pStyle w:val="Heading3"/>
      </w:pPr>
      <w:bookmarkStart w:id="87" w:name="methods"/>
      <w:r>
        <w:t xml:space="preserve">Methods</w:t>
      </w:r>
      <w:bookmarkEnd w:id="87"/>
    </w:p>
    <w:p>
      <w:pPr>
        <w:pStyle w:val="FirstParagraph"/>
      </w:pPr>
      <w:r>
        <w:t xml:space="preserve"> </w:t>
      </w:r>
    </w:p>
    <w:p>
      <w:pPr>
        <w:pStyle w:val="Heading4"/>
      </w:pPr>
      <w:bookmarkStart w:id="88" w:name="site-details"/>
      <w:r>
        <w:t xml:space="preserve">Site details</w:t>
      </w:r>
      <w:bookmarkEnd w:id="88"/>
    </w:p>
    <w:p>
      <w:pPr>
        <w:pStyle w:val="FirstParagraph"/>
      </w:pPr>
      <w:r>
        <w:t xml:space="preserve">This chapter focuses on the six Leech WSA monitoring sites (Figure</w:t>
      </w:r>
      <w:r>
        <w:t xml:space="preserve"> </w:t>
      </w:r>
      <w:r>
        <w:t xml:space="preserve">13</w:t>
      </w:r>
      <w:r>
        <w:t xml:space="preserve">), which were equipped with Vertical Rack samplers. Nested catchments of the Leech WSA included two headwater streams, Weeks and Chris crk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w:t>
      </w:r>
      <w:r>
        <w:t xml:space="preserve">‘</w:t>
      </w:r>
      <w:r>
        <w:t xml:space="preserve">Leech-head</w:t>
      </w:r>
      <w:r>
        <w:t xml:space="preserve">’</w:t>
      </w:r>
      <w:r>
        <w:t xml:space="preserve">), below the confluence of those two headwater streams (site 3, 20.6 km</w:t>
      </w:r>
      <w:r>
        <w:rPr>
          <w:vertAlign w:val="superscript"/>
        </w:rPr>
        <w:t xml:space="preserve">2</w:t>
      </w:r>
      <w:r>
        <w:t xml:space="preserve"> </w:t>
      </w:r>
      <w:r>
        <w:t xml:space="preserve">sub-basin); two major tributaries that feed the Leech, Cragg crk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drainage of the entire Leech WSA above the point of diversion (95.3 km</w:t>
      </w:r>
      <w:r>
        <w:rPr>
          <w:vertAlign w:val="superscript"/>
        </w:rPr>
        <w:t xml:space="preserve">2</w:t>
      </w:r>
      <w:r>
        <w:t xml:space="preserve">). Sample collection and analysis follow the methods detailed in Chapter 2. Of the main tributaries to the Leech River mainstem, Cragg crk had the lowest average concentration and least aromatic NOM character, while West Leech NOM was higher in concentration and more aromatic (Chapter 3).</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9"/>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pPr>
        <w:pStyle w:val="BodyText"/>
      </w:pPr>
      <w:r>
        <w:t xml:space="preserve"> </w:t>
      </w:r>
    </w:p>
    <w:p>
      <w:pPr>
        <w:pStyle w:val="BodyText"/>
      </w:pPr>
      <w:r>
        <w:t xml:space="preserve">Surficial materials and soils in the Leech WSA were predominantly podzolic with approximately 50% of the parent material in each sub-basin composed of colluvial deposits with O-HFP development (orthic humo-ferric podzol). The second most dominant parent material for soil was till (morainal) with duric humo-ferric podzol (DU-HFP) soil development in all sub-basins except for West Leech which had till-based O-HFP soils as the second most dominant</w:t>
      </w:r>
      <w:r>
        <w:t xml:space="preserve"> </w:t>
      </w:r>
      <w:r>
        <w:t xml:space="preserve">(Government of Canada</w:t>
      </w:r>
      <w:r>
        <w:t xml:space="preserve"> </w:t>
      </w:r>
      <w:hyperlink w:anchor="ref-SoilsCanada2018">
        <w:r>
          <w:rPr>
            <w:rStyle w:val="Hyperlink"/>
          </w:rPr>
          <w:t xml:space="preserve">2018</w:t>
        </w:r>
      </w:hyperlink>
      <w:r>
        <w:t xml:space="preserve">)</w:t>
      </w:r>
      <w:r>
        <w:t xml:space="preserve">. DU-HFP differs from O-HFP by the presence of a strongly cemented layer (duric horizon) that is unlike the B horizon in O-HFP</w:t>
      </w:r>
      <w:r>
        <w:t xml:space="preserve"> </w:t>
      </w:r>
      <w:r>
        <w:t xml:space="preserve">(Canadian Society of Soil Science</w:t>
      </w:r>
      <w:r>
        <w:t xml:space="preserve"> </w:t>
      </w:r>
      <w:hyperlink w:anchor="ref-SoilScience2020">
        <w:r>
          <w:rPr>
            <w:rStyle w:val="Hyperlink"/>
          </w:rPr>
          <w:t xml:space="preserve">2020</w:t>
        </w:r>
      </w:hyperlink>
      <w:r>
        <w:t xml:space="preserve">)</w:t>
      </w:r>
      <w:r>
        <w:t xml:space="preserve">. Both DU-HFP and O-HFP are well drained, or moderately so, and O-HFP tends to be acidic (pH &lt; 5.6) while DU-HFP is generally moderately acidic to neutral (pH 5.6 - 7.4)</w:t>
      </w:r>
      <w:r>
        <w:t xml:space="preserve"> </w:t>
      </w:r>
      <w:r>
        <w:t xml:space="preserve">(Government of Canada</w:t>
      </w:r>
      <w:r>
        <w:t xml:space="preserve"> </w:t>
      </w:r>
      <w:hyperlink w:anchor="ref-SoilsCanada2018">
        <w:r>
          <w:rPr>
            <w:rStyle w:val="Hyperlink"/>
          </w:rPr>
          <w:t xml:space="preserve">2018</w:t>
        </w:r>
      </w:hyperlink>
      <w:r>
        <w:t xml:space="preserve">)</w:t>
      </w:r>
      <w:r>
        <w:t xml:space="preserve">. There was a small amount of poorly-draining terric mesisol (T.M., undifferentiated organic soil) present only in the Weeks crk sub-basin (Table</w:t>
      </w:r>
      <w:r>
        <w:t xml:space="preserve"> </w:t>
      </w:r>
      <w:r>
        <w:t xml:space="preserve">14</w:t>
      </w:r>
      <w:r>
        <w:t xml:space="preserve">).</w:t>
      </w:r>
    </w:p>
    <w:p>
      <w:pPr>
        <w:pStyle w:val="BodyText"/>
      </w:pPr>
      <w:r>
        <w:t xml:space="preserve"> </w:t>
      </w:r>
    </w:p>
    <w:p>
      <w:pPr>
        <w:pStyle w:val="BodyText"/>
      </w:pPr>
      <w:r>
        <w:t xml:space="preserve">There were a few notable differences in subsurface geology between sub-basins (Table</w:t>
      </w:r>
      <w:r>
        <w:t xml:space="preserve"> </w:t>
      </w:r>
      <w:r>
        <w:t xml:space="preserve">14</w:t>
      </w:r>
      <w:r>
        <w:t xml:space="preserve">). West Leech was characterized by the absence of wark-gneiss and chert-argillite-volcanic parent materials (0%), which were present in all other sub-basins. Both Weeks crk and West Leech sub-basins were dominated by argillite-metagreywacke parent material (64% and 77%, respectively). West Leech was also underlain by metagreywacke (7%) and Metchosin volcanics (16%), which were absent in each of the other monitoring sub-basins. Cragg crk sub-basin (site 4) was underlain predominantly by metamorphic wark gneiss (78%) with no argillite-metagreywacke parent material (0%). Metagreywacke parent materials are part of the metasedimentary Leech River Formation, where metagreywacke is meta-sandstone and argillite-metagreywacke is more of a meta-mudstone. The Leech River Formation tends to be more erodible than wark-gneiss</w:t>
      </w:r>
      <w:r>
        <w:t xml:space="preserve"> </w:t>
      </w:r>
      <w:r>
        <w:t xml:space="preserve">(Ussery and AECOM</w:t>
      </w:r>
      <w:r>
        <w:t xml:space="preserve"> </w:t>
      </w:r>
      <w:hyperlink w:anchor="ref-Ussery2015">
        <w:r>
          <w:rPr>
            <w:rStyle w:val="Hyperlink"/>
          </w:rPr>
          <w:t xml:space="preserve">2015</w:t>
        </w:r>
      </w:hyperlink>
      <w:r>
        <w:t xml:space="preserve">)</w:t>
      </w:r>
      <w:r>
        <w:t xml:space="preserve">. Chris crk and Cragg crk sub-basins had no metasedimentary parent material of the Leech River Formation.</w:t>
      </w:r>
    </w:p>
    <w:p>
      <w:pPr>
        <w:pStyle w:val="BodyText"/>
      </w:pPr>
      <w:r>
        <w:t xml:space="preserve"> </w:t>
      </w:r>
    </w:p>
    <w:p>
      <w:pPr>
        <w:pStyle w:val="BodyText"/>
      </w:pPr>
      <w:r>
        <w:t xml:space="preserve">At the surface, Weeks crk sub-basin had the greatest proportion of wetland and open water compared to the other sub-basin sites (Table</w:t>
      </w:r>
      <w:r>
        <w:t xml:space="preserve"> </w:t>
      </w:r>
      <w:r>
        <w:t xml:space="preserve">14</w:t>
      </w:r>
      <w:r>
        <w:t xml:space="preserve">).Cragg crk sub-basin had the oldest average tree age (59 years). By area, the most heavily harvested basin since 1980 was the Chris crk sub-basin (63% harvested), then Leech-head and Cragg crk sub-basins (43% and 41% harvested). West Leech was the least harvested between 1980 and 2011 (26%), followed by Weeks crk sub-basin (28% harvested, but is also 7% open water and wetland) and the entire Leech Tunnel catchment area (34%).</w:t>
      </w:r>
    </w:p>
    <w:p>
      <w:pPr>
        <w:pStyle w:val="BodyText"/>
      </w:pPr>
      <w:r>
        <w:t xml:space="preserve"> </w:t>
      </w:r>
    </w:p>
    <w:p>
      <w:pPr>
        <w:pStyle w:val="TableCaption"/>
      </w:pPr>
      <w:r>
        <w:t xml:space="preserve">Table 14: Summary of Leech Watershed Characteristics for Monitoring Site Sub-basins. Variables Preceded by Square Brackets Indicate Sub-surface Features of Parent Material ([PM]) and Soil Groups ([S]).</w:t>
      </w:r>
    </w:p>
    <w:tbl>
      <w:tblPr>
        <w:tblStyle w:val="Table"/>
        <w:tblW w:type="pct" w:w="4999.999999999998"/>
        <w:tblLook w:firstRow="1"/>
        <w:tblCaption w:val="Table 14: Summary of Leech Watershed Characteristics for Monitoring Site Sub-basins. Variables Preceded by Square Brackets Indicate Sub-surface Features of Parent Material ([PM]) and Soil Groups ([S])."/>
      </w:tblPr>
      <w:tblGrid>
        <w:gridCol w:w="2134"/>
        <w:gridCol w:w="786"/>
        <w:gridCol w:w="786"/>
        <w:gridCol w:w="842"/>
        <w:gridCol w:w="786"/>
        <w:gridCol w:w="842"/>
        <w:gridCol w:w="1741"/>
      </w:tblGrid>
      <w:tr>
        <w:trPr>
          <w:cnfStyle w:firstRow="1"/>
        </w:trPr>
        <w:tc>
          <w:tcPr>
            <w:tcBorders>
              <w:bottom w:val="single"/>
            </w:tcBorders>
            <w:vAlign w:val="bottom"/>
          </w:tcPr>
          <w:p>
            <w:pPr>
              <w:pStyle w:val="Compact"/>
              <w:jc w:val="left"/>
            </w:pPr>
            <w:r>
              <w:t xml:space="preserve">X1</w:t>
            </w:r>
          </w:p>
        </w:tc>
        <w:tc>
          <w:tcPr>
            <w:tcBorders>
              <w:bottom w:val="single"/>
            </w:tcBorders>
            <w:vAlign w:val="bottom"/>
          </w:tcPr>
          <w:p>
            <w:pPr>
              <w:pStyle w:val="Compact"/>
              <w:jc w:val="left"/>
            </w:pPr>
            <w:r>
              <w:t xml:space="preserve">Weeks crk (1)</w:t>
            </w:r>
          </w:p>
        </w:tc>
        <w:tc>
          <w:tcPr>
            <w:tcBorders>
              <w:bottom w:val="single"/>
            </w:tcBorders>
            <w:vAlign w:val="bottom"/>
          </w:tcPr>
          <w:p>
            <w:pPr>
              <w:pStyle w:val="Compact"/>
              <w:jc w:val="left"/>
            </w:pPr>
            <w:r>
              <w:t xml:space="preserve">Chris crk (2)</w:t>
            </w:r>
          </w:p>
        </w:tc>
        <w:tc>
          <w:tcPr>
            <w:tcBorders>
              <w:bottom w:val="single"/>
            </w:tcBorders>
            <w:vAlign w:val="bottom"/>
          </w:tcPr>
          <w:p>
            <w:pPr>
              <w:pStyle w:val="Compact"/>
              <w:jc w:val="left"/>
            </w:pPr>
            <w:r>
              <w:t xml:space="preserve">Leech-head (3)</w:t>
            </w:r>
          </w:p>
        </w:tc>
        <w:tc>
          <w:tcPr>
            <w:tcBorders>
              <w:bottom w:val="single"/>
            </w:tcBorders>
            <w:vAlign w:val="bottom"/>
          </w:tcPr>
          <w:p>
            <w:pPr>
              <w:pStyle w:val="Compact"/>
              <w:jc w:val="left"/>
            </w:pPr>
            <w:r>
              <w:t xml:space="preserve">Cragg crk (4)</w:t>
            </w:r>
          </w:p>
        </w:tc>
        <w:tc>
          <w:tcPr>
            <w:tcBorders>
              <w:bottom w:val="single"/>
            </w:tcBorders>
            <w:vAlign w:val="bottom"/>
          </w:tcPr>
          <w:p>
            <w:pPr>
              <w:pStyle w:val="Compact"/>
              <w:jc w:val="left"/>
            </w:pPr>
            <w:r>
              <w:t xml:space="preserve">West Leech (5)</w:t>
            </w:r>
          </w:p>
        </w:tc>
        <w:tc>
          <w:tcPr>
            <w:tcBorders>
              <w:bottom w:val="single"/>
            </w:tcBorders>
            <w:vAlign w:val="bottom"/>
          </w:tcPr>
          <w:p>
            <w:pPr>
              <w:pStyle w:val="Compact"/>
              <w:jc w:val="left"/>
            </w:pPr>
            <w:r>
              <w:t xml:space="preserve">Leech Tunnel (6)</w:t>
            </w:r>
          </w:p>
        </w:tc>
      </w:tr>
      <w:tr>
        <w:tc>
          <w:p>
            <w:pPr>
              <w:pStyle w:val="Compact"/>
              <w:jc w:val="left"/>
            </w:pPr>
            <w:r>
              <w:t xml:space="preserve">Variable by site</w:t>
            </w:r>
          </w:p>
        </w:tc>
        <w:tc>
          <w:p/>
        </w:tc>
        <w:tc>
          <w:p/>
        </w:tc>
        <w:tc>
          <w:p/>
        </w:tc>
        <w:tc>
          <w:p/>
        </w:tc>
        <w:tc>
          <w:p/>
        </w:tc>
        <w:tc>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w:t>
            </w:r>
          </w:p>
        </w:tc>
        <w:tc>
          <w:p>
            <w:pPr>
              <w:pStyle w:val="Compact"/>
              <w:jc w:val="left"/>
            </w:pPr>
            <w:r>
              <w:t xml:space="preserve">Headwater</w:t>
            </w:r>
          </w:p>
        </w:tc>
        <w:tc>
          <w:p>
            <w:pPr>
              <w:pStyle w:val="Compact"/>
              <w:jc w:val="left"/>
            </w:pPr>
            <w:r>
              <w:t xml:space="preserve">Leech Rv.</w:t>
            </w:r>
          </w:p>
        </w:tc>
        <w:tc>
          <w:p>
            <w:pPr>
              <w:pStyle w:val="Compact"/>
              <w:jc w:val="left"/>
            </w:pPr>
            <w:r>
              <w:t xml:space="preserve">Major trib.</w:t>
            </w:r>
          </w:p>
        </w:tc>
        <w:tc>
          <w:p>
            <w:pPr>
              <w:pStyle w:val="Compact"/>
              <w:jc w:val="left"/>
            </w:pPr>
            <w:r>
              <w:t xml:space="preserve">Major trib.</w:t>
            </w:r>
          </w:p>
        </w:tc>
        <w:tc>
          <w:p>
            <w:pPr>
              <w:pStyle w:val="Compact"/>
              <w:jc w:val="left"/>
            </w:pPr>
            <w:r>
              <w:t xml:space="preserve">Mainstem, future diversion pt.</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14</w:t>
      </w:r>
      <w:r>
        <w:t xml:space="preserve"> </w:t>
      </w:r>
      <w:r>
        <w:t xml:space="preserve">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90" w:name="Xeb3d028e12f35a308f8bb14b0d0c905983784eb"/>
      <w:r>
        <w:t xml:space="preserve">Random Forests predictor variable refinement</w:t>
      </w:r>
      <w:bookmarkEnd w:id="90"/>
    </w:p>
    <w:p>
      <w:pPr>
        <w:pStyle w:val="FirstParagraph"/>
      </w:pPr>
      <w:r>
        <w:t xml:space="preserve">RF variable importance measures (VIMs) were used to assess the relative importance of sub-basin characteristics and conditions as predictors of NOM concentration and character. 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14</w:t>
      </w:r>
      <w:r>
        <w:t xml:space="preserve">) as well as weather and sampling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VIM was assessed via the MSE method. As cross-correlated predictors can cause biased VIM in RF, variables with correlation coefficients greater than 0.65 were omitted (though there is no standard definition for stages of correlation coefficients, 0.65 seemed a reasonable threshold to separate moderate and more strongly correlated variables).</w:t>
      </w:r>
    </w:p>
    <w:p>
      <w:pPr>
        <w:pStyle w:val="BodyText"/>
      </w:pPr>
      <w:r>
        <w:t xml:space="preserve"> </w:t>
      </w:r>
    </w:p>
    <w:p>
      <w:pPr>
        <w:pStyle w:val="BodyText"/>
      </w:pPr>
      <w:r>
        <w:t xml:space="preserve">Values for median basin slopes were the same across three sites, so mean slopes were selected instead, as means were unique to each sampling basin. Sub-basin slope was correlated with percent wetland cover (-0.73), and forest cover and wetland were also correlated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least harvested since 1980 (Table</w:t>
      </w:r>
      <w:r>
        <w:t xml:space="preserve"> </w:t>
      </w:r>
      <w:r>
        <w:t xml:space="preserve">14</w:t>
      </w:r>
      <w:r>
        <w:t xml:space="preserve">). These are the types of correlations that could cause spurious VIM bias in RF, because it’s unlikely that the presence of meta-sedimentary parent material was the cause for these basins to be less harvested over the past 30 years. Parent-material variables were refined to metamorphic (wark-gneiss)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VIM predictor variables.</w:t>
      </w:r>
    </w:p>
    <w:p>
      <w:pPr>
        <w:pStyle w:val="BodyText"/>
      </w:pPr>
      <w:r>
        <w:t xml:space="preserve"> </w:t>
      </w:r>
    </w:p>
    <w:p>
      <w:pPr>
        <w:pStyle w:val="BodyText"/>
      </w:pPr>
      <w:r>
        <w:t xml:space="preserve">The nine selected predictor variables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mean basin slope (degrees)</w:t>
      </w:r>
    </w:p>
    <w:p>
      <w:pPr>
        <w:pStyle w:val="Compact"/>
        <w:numPr>
          <w:numId w:val="1002"/>
          <w:ilvl w:val="0"/>
        </w:numPr>
      </w:pPr>
      <w:r>
        <w:t xml:space="preserve">tree age (average, years)</w:t>
      </w:r>
    </w:p>
    <w:p>
      <w:pPr>
        <w:pStyle w:val="Compact"/>
        <w:numPr>
          <w:numId w:val="1002"/>
          <w:ilvl w:val="0"/>
        </w:numPr>
      </w:pPr>
      <w:r>
        <w:t xml:space="preserve">logging history (percent of basin harvested 1980-2011)</w:t>
      </w:r>
    </w:p>
    <w:p>
      <w:pPr>
        <w:pStyle w:val="Compact"/>
        <w:numPr>
          <w:numId w:val="1002"/>
          <w:ilvl w:val="0"/>
        </w:numPr>
      </w:pPr>
      <w:r>
        <w:t xml:space="preserve">antecedent 7-day air temperatures (°C)</w:t>
      </w:r>
    </w:p>
    <w:p>
      <w:pPr>
        <w:pStyle w:val="Compact"/>
        <w:numPr>
          <w:numId w:val="1002"/>
          <w:ilvl w:val="0"/>
        </w:numPr>
      </w:pPr>
      <w:r>
        <w:t xml:space="preserve">antecedent 30-day rain (mm, total)</w:t>
      </w:r>
    </w:p>
    <w:p>
      <w:pPr>
        <w:pStyle w:val="Compact"/>
        <w:numPr>
          <w:numId w:val="1002"/>
          <w:ilvl w:val="0"/>
        </w:numPr>
      </w:pPr>
      <w:r>
        <w:t xml:space="preserve">sampling stage (normalized)</w:t>
      </w:r>
    </w:p>
    <w:p>
      <w:pPr>
        <w:pStyle w:val="FirstParagraph"/>
      </w:pPr>
      <w:r>
        <w:t xml:space="preserve"> </w:t>
      </w:r>
    </w:p>
    <w:p>
      <w:pPr>
        <w:pStyle w:val="BodyText"/>
      </w:pPr>
      <w:r>
        <w:t xml:space="preserve">Sampling stages for each site were scaled (min-max-normalized) to account for differences between Vertical Rack installations and to allow for comparison between sites (example calculation in Appendix</w:t>
      </w:r>
      <w:r>
        <w:t xml:space="preserve"> </w:t>
      </w:r>
      <w:r>
        <w:rPr>
          <w:i/>
        </w:rPr>
        <w:t xml:space="preserve">XXXX</w:t>
      </w:r>
      <w:r>
        <w:t xml:space="preserve">). For antecedent rain and air temperatures, different periods of time were considered in exploratory data analysis. Intervals of 3, 5, 7, 14, 21 and 30 days prior to sample collection were evaluated for cross-correlations and relative VIM results (not shown). The intervals of 30 days for antecedent rain and 7 days for antecedent air temperature were chosen because (1) they were not cross correlated with other predictor variables or each other and (2) each was more easily distinguished in VIM results than other interval options. For example, antecedent 7-day rain was 1.2% less important than 30-day rain, which isn’t huge, but the relative difference between shorter and longer periods of antecedent rain indicate that greater saturation, which may be indicative of greater connectivity of streams to distant/deeper terrestrial environments, was more important than precipitation inputs in general. In that vein, 30 days of rain could be considered as an indicator of overall antecedent landscape wetness, whereas shorter periods of rain may not have been adequate indicators of wetness due to interception, evaporation, or evapotranspiration losses. Using the same parameters tuned for DOC prediction for VIM E</w:t>
      </w:r>
      <w:r>
        <w:rPr>
          <w:vertAlign w:val="subscript"/>
        </w:rPr>
        <w:t xml:space="preserve">2</w:t>
      </w:r>
      <w:r>
        <w:t xml:space="preserve">:E</w:t>
      </w:r>
      <w:r>
        <w:rPr>
          <w:vertAlign w:val="subscript"/>
        </w:rPr>
        <w:t xml:space="preserve">3</w:t>
      </w:r>
      <w:r>
        <w:t xml:space="preserve">, 30-day antecedent rain was relatively more important than 7-day rain (15.3% vs. 12.8%). For E</w:t>
      </w:r>
      <w:r>
        <w:rPr>
          <w:vertAlign w:val="subscript"/>
        </w:rPr>
        <w:t xml:space="preserve">2</w:t>
      </w:r>
      <w:r>
        <w:t xml:space="preserve">:E</w:t>
      </w:r>
      <w:r>
        <w:rPr>
          <w:vertAlign w:val="subscript"/>
        </w:rPr>
        <w:t xml:space="preserve">3</w:t>
      </w:r>
      <w:r>
        <w:t xml:space="preserve">, 7-day antecedent air temperatures were more important than 30-day air temperatures (8.5% vs. 6.5%). Therefore, relatively short term temperatures and relatively long term rain were selected as conditions for VIM assessment and antecedent 7-day temperatures and 30-day rain values were calculated for each sample (example calculation in Appendix</w:t>
      </w:r>
      <w:r>
        <w:t xml:space="preserve"> </w:t>
      </w:r>
      <w:r>
        <w:rPr>
          <w:i/>
        </w:rPr>
        <w:t xml:space="preserve">XXXX</w:t>
      </w:r>
      <w:r>
        <w:t xml:space="preserve">).</w:t>
      </w:r>
    </w:p>
    <w:p>
      <w:pPr>
        <w:pStyle w:val="BodyText"/>
      </w:pPr>
      <w:r>
        <w:t xml:space="preserve"> </w:t>
      </w:r>
    </w:p>
    <w:p>
      <w:pPr>
        <w:pStyle w:val="BodyText"/>
      </w:pPr>
      <w:r>
        <w:t xml:space="preserve">As surface and subsurface characteristics were static values (e.g. basin slope, parent material), it was possible that RF might treat them categorically, therefore they were evaluated independent of dynamic weather data to see if there was any shift in their relative importance (as categorical variables mixed with numeric could lead to bias), but the relative rankings were unchanged so all groups (conditions and characteristics) were evaluated together.</w:t>
      </w:r>
    </w:p>
    <w:p>
      <w:pPr>
        <w:pStyle w:val="BodyText"/>
      </w:pPr>
      <w:r>
        <w:t xml:space="preserve"> </w:t>
      </w:r>
    </w:p>
    <w:p>
      <w:pPr>
        <w:pStyle w:val="BodyText"/>
      </w:pPr>
      <w:r>
        <w:t xml:space="preserve">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 Following RF VIM analysis, the variables with relatively greatest predictor importance were further explored by evaluating their one-on-one relationships with NOM concentration and character. Where possible, important predictor variables were assessed for hysteretic behaviour.</w:t>
      </w:r>
    </w:p>
    <w:p>
      <w:pPr>
        <w:pStyle w:val="BodyText"/>
      </w:pPr>
      <w:r>
        <w:t xml:space="preserve"> </w:t>
      </w:r>
    </w:p>
    <w:p>
      <w:pPr>
        <w:pStyle w:val="Heading4"/>
      </w:pPr>
      <w:bookmarkStart w:id="91" w:name="hysteresis-1"/>
      <w:r>
        <w:t xml:space="preserve">Hysteresis</w:t>
      </w:r>
      <w:bookmarkEnd w:id="91"/>
    </w:p>
    <w:p>
      <w:pPr>
        <w:pStyle w:val="FirstParagraph"/>
      </w:pPr>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rain and antecedent wetness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pPr>
        <w:pStyle w:val="BodyText"/>
      </w:pPr>
      <w:r>
        <w:t xml:space="preserve"> </w:t>
      </w:r>
    </w:p>
    <w:p>
      <w:pPr>
        <w:pStyle w:val="BodyText"/>
      </w:pPr>
      <w:r>
        <w:t xml:space="preserve">For a C-Q hysteresis loop, clockwise rotation indicates rapid flushing and dilution, while counter-clockwise rotation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Because of the assumed relationship between antecedent rain and streamflow, a similar interpretation is used here despite the absence of discharge data.</w:t>
      </w:r>
    </w:p>
    <w:p>
      <w:pPr>
        <w:pStyle w:val="BodyText"/>
      </w:pPr>
      <w:r>
        <w:t xml:space="preserve"> </w:t>
      </w:r>
    </w:p>
    <w:p>
      <w:pPr>
        <w:pStyle w:val="Heading4"/>
      </w:pPr>
      <w:bookmarkStart w:id="92" w:name="evaluating-local-extrema"/>
      <w:r>
        <w:t xml:space="preserve">Evaluating local extrema</w:t>
      </w:r>
      <w:bookmarkEnd w:id="92"/>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3" w:name="results"/>
      <w:r>
        <w:t xml:space="preserve">Results</w:t>
      </w:r>
      <w:bookmarkEnd w:id="93"/>
    </w:p>
    <w:p>
      <w:pPr>
        <w:pStyle w:val="FirstParagraph"/>
      </w:pPr>
      <w:r>
        <w:t xml:space="preserve">Watershed characteristics were less important than conditions for predicting NOM concentration and character.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had antecedent 30-day rain as one of their top 3 predictor variables. The RF variable importance measure (VIM) showed that DOC and SAC</w:t>
      </w:r>
      <w:r>
        <w:rPr>
          <w:vertAlign w:val="subscript"/>
        </w:rPr>
        <w:t xml:space="preserve">254</w:t>
      </w:r>
      <w:r>
        <w:t xml:space="preserve"> </w:t>
      </w:r>
      <w:r>
        <w:t xml:space="preserve">were best predicted by wet and warm conditions, while E</w:t>
      </w:r>
      <w:r>
        <w:rPr>
          <w:vertAlign w:val="subscript"/>
        </w:rPr>
        <w:t xml:space="preserve">2</w:t>
      </w:r>
      <w:r>
        <w:t xml:space="preserve">:E</w:t>
      </w:r>
      <w:r>
        <w:rPr>
          <w:vertAlign w:val="subscript"/>
        </w:rPr>
        <w:t xml:space="preserve">3</w:t>
      </w:r>
      <w:r>
        <w:t xml:space="preserve"> </w:t>
      </w:r>
      <w:r>
        <w:t xml:space="preserve">was sensitive to rain and sampling stage but wasn’t strongly influenced by 7-day antecedent temperature. Metamorphic parent material was ranked fourth in importance for predicting concentration and character of NOM and igneous parent material was ranked least important.</w:t>
      </w:r>
    </w:p>
    <w:p>
      <w:pPr>
        <w:pStyle w:val="BodyText"/>
      </w:pPr>
      <w:r>
        <w:t xml:space="preserve">Slope was relatively more important for concentration than it was for character of NOM and sampling stage was more important to character than concentration.</w:t>
      </w:r>
    </w:p>
    <w:p>
      <w:pPr>
        <w:pStyle w:val="BodyText"/>
      </w:pPr>
      <w:r>
        <w:t xml:space="preserve">Tree age and logging history were quite poor for predicting both DOC concentration and SAC</w:t>
      </w:r>
      <w:r>
        <w:rPr>
          <w:vertAlign w:val="subscript"/>
        </w:rPr>
        <w:t xml:space="preserve">254</w:t>
      </w:r>
      <w:r>
        <w:t xml:space="preserve">, and more important for E</w:t>
      </w:r>
      <w:r>
        <w:rPr>
          <w:vertAlign w:val="subscript"/>
        </w:rPr>
        <w:t xml:space="preserve">2</w:t>
      </w:r>
      <w:r>
        <w:t xml:space="preserve">:E</w:t>
      </w:r>
      <w:r>
        <w:rPr>
          <w:vertAlign w:val="subscript"/>
        </w:rPr>
        <w:t xml:space="preserve">3</w:t>
      </w:r>
      <w:r>
        <w:t xml:space="preserve">.</w:t>
      </w:r>
    </w:p>
    <w:p>
      <w:pPr>
        <w:pStyle w:val="BodyText"/>
      </w:pPr>
      <w:r>
        <w:t xml:space="preserve">Drainage area was not found to be particularly important for any of the three predictants (Figure</w:t>
      </w:r>
      <w:r>
        <w:t xml:space="preserve"> </w:t>
      </w:r>
      <w:r>
        <w:t xml:space="preserve">14</w:t>
      </w:r>
      <w:r>
        <w:t xml:space="preserve">).</w:t>
      </w:r>
    </w:p>
    <w:p>
      <w:pPr>
        <w:pStyle w:val="BodyText"/>
      </w:pPr>
      <w:r>
        <w:t xml:space="preserve"> </w:t>
      </w:r>
    </w:p>
    <w:p>
      <w:pPr>
        <w:pStyle w:val="CaptionedFigure"/>
      </w:pPr>
      <w:r>
        <w:drawing>
          <wp:inline>
            <wp:extent cx="5504749" cy="6880936"/>
            <wp:effectExtent b="0" l="0" r="0" t="0"/>
            <wp:docPr descr="Figure 14:  Variable importance for predicting NOM concentration (DOC), molecular aromaticity (SAC254), and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summary_DOC-E2E3-SAC254.png" id="0" name="Picture"/>
                    <pic:cNvPicPr>
                      <a:picLocks noChangeArrowheads="1" noChangeAspect="1"/>
                    </pic:cNvPicPr>
                  </pic:nvPicPr>
                  <pic:blipFill>
                    <a:blip r:embed="rId94"/>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molecular aromaticity (SAC</w:t>
      </w:r>
      <w:r>
        <w:rPr>
          <w:vertAlign w:val="subscript"/>
        </w:rPr>
        <w:t xml:space="preserve">254</w:t>
      </w:r>
      <w:r>
        <w:t xml:space="preserve">), and aromaticity &amp;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BodyText"/>
      </w:pPr>
      <w:r>
        <w:t xml:space="preserve">RF can sometimes find biased VIM if predictor variables are cross-correlated, and rain and stage were correlated (0.61 Pearson correlation coefficient), so RF VIM was run with only sampling stage, and with only antecedent 30-day rain and in both scenarios, each variable ranked at the same relative importance for predicting DOC.</w:t>
      </w:r>
    </w:p>
    <w:p>
      <w:pPr>
        <w:pStyle w:val="BodyText"/>
      </w:pPr>
      <w:r>
        <w:t xml:space="preserve"> </w:t>
      </w:r>
    </w:p>
    <w:p>
      <w:pPr>
        <w:pStyle w:val="Heading4"/>
      </w:pPr>
      <w:bookmarkStart w:id="95" w:name="predicting-doc"/>
      <w:r>
        <w:t xml:space="preserve">Predicting DOC</w:t>
      </w:r>
      <w:bookmarkEnd w:id="95"/>
    </w:p>
    <w:p>
      <w:pPr>
        <w:pStyle w:val="FirstParagraph"/>
      </w:pPr>
      <w:r>
        <w:t xml:space="preserve">Antecedent 7-day air temperature was calculated to have the greatest relative importance in predicting DOC concentrations. Upon closer inspection, DOC and 7-day temperature were positively related in the wet season with no obvious relationship in the dry season (Figure</w:t>
      </w:r>
      <w:r>
        <w:t xml:space="preserve"> </w:t>
      </w:r>
      <w:r>
        <w:t xml:space="preserve">15</w:t>
      </w:r>
      <w:r>
        <w:t xml:space="preserve">).</w:t>
      </w:r>
    </w:p>
    <w:p>
      <w:pPr>
        <w:pStyle w:val="BodyText"/>
      </w:pPr>
      <w:r>
        <w:t xml:space="preserve"> </w:t>
      </w:r>
    </w:p>
    <w:p>
      <w:pPr>
        <w:pStyle w:val="CaptionedFigure"/>
      </w:pPr>
      <w:r>
        <w:drawing>
          <wp:inline>
            <wp:extent cx="3669832" cy="3669832"/>
            <wp:effectExtent b="0" l="0" r="0" t="0"/>
            <wp:docPr descr="Figure 15:  Antecedent 7-day air temperature as a predictor variable for concentrations of dissolved organic carbon in the wet and dry seasons of the Leech Water Supply Area (including loess trend line)" title="" id="1" name="Picture"/>
            <a:graphic>
              <a:graphicData uri="http://schemas.openxmlformats.org/drawingml/2006/picture">
                <pic:pic>
                  <pic:nvPicPr>
                    <pic:cNvPr descr="R-outputs_UBC-forWater-MSc_HMc/figures/Ch4_RF_DOC-predictor-1-temp.png" id="0" name="Picture"/>
                    <pic:cNvPicPr>
                      <a:picLocks noChangeArrowheads="1" noChangeAspect="1"/>
                    </pic:cNvPicPr>
                  </pic:nvPicPr>
                  <pic:blipFill>
                    <a:blip r:embed="rId9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Antecedent 7-day air temperature as a predictor variable for concentrations of dissolved organic carbon in the wet and dry seasons of the Leech Water Supply Area (including loess trend line)</w:t>
      </w:r>
    </w:p>
    <w:p>
      <w:pPr>
        <w:pStyle w:val="BodyText"/>
      </w:pPr>
      <w:r>
        <w:t xml:space="preserve"> </w:t>
      </w:r>
    </w:p>
    <w:p>
      <w:pPr>
        <w:pStyle w:val="BodyText"/>
      </w:pPr>
      <w:r>
        <w:t xml:space="preserve">For DOC, antecedent 30-day rain accumulation had the second greatest relative predictor importance. There was a non-linear relationship between the two variables which showed an initial increase in DOC with increasing antecedent wetness, and then a gradual decline in DOC with increasing accumulated rain (Figure</w:t>
      </w:r>
      <w:r>
        <w:t xml:space="preserve"> </w:t>
      </w:r>
      <w:r>
        <w:t xml:space="preserve">16</w:t>
      </w:r>
      <w:r>
        <w:t xml:space="preserve">). Lower order streams (Weeks, Chris, Leech-head) showed a steeper decline in DOC with increasing 30-day antecedent rain.</w:t>
      </w:r>
    </w:p>
    <w:p>
      <w:pPr>
        <w:pStyle w:val="BodyText"/>
      </w:pPr>
      <w:r>
        <w:t xml:space="preserve"> </w:t>
      </w:r>
    </w:p>
    <w:p>
      <w:pPr>
        <w:pStyle w:val="CaptionedFigure"/>
      </w:pPr>
      <w:r>
        <w:drawing>
          <wp:inline>
            <wp:extent cx="3669832" cy="3669832"/>
            <wp:effectExtent b="0" l="0" r="0" t="0"/>
            <wp:docPr descr="Figure 16:  Antecedent 30-day rain as a predictor variable for concentrations of dissolved organic carbon at six sites across the Leech Water Supply Area (including loess trend line)." title="" id="1" name="Picture"/>
            <a:graphic>
              <a:graphicData uri="http://schemas.openxmlformats.org/drawingml/2006/picture">
                <pic:pic>
                  <pic:nvPicPr>
                    <pic:cNvPr descr="R-outputs_UBC-forWater-MSc_HMc/figures/Ch4_RF_DOC-predictor-2-rain.png" id="0" name="Picture"/>
                    <pic:cNvPicPr>
                      <a:picLocks noChangeArrowheads="1" noChangeAspect="1"/>
                    </pic:cNvPicPr>
                  </pic:nvPicPr>
                  <pic:blipFill>
                    <a:blip r:embed="rId9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Antecedent 30-day rain as a predictor variable for concentrations of dissolved organic carbon at six sites across the Leech Water Supply Area (including loess trend line).</w:t>
      </w:r>
    </w:p>
    <w:p>
      <w:pPr>
        <w:pStyle w:val="BodyText"/>
      </w:pPr>
      <w:r>
        <w:t xml:space="preserve"> </w:t>
      </w:r>
    </w:p>
    <w:p>
      <w:pPr>
        <w:pStyle w:val="BodyText"/>
      </w:pPr>
      <w:r>
        <w:t xml:space="preserve">Sub-basin slope ranked third in importance as a predictor for DOC. The relationship between slope and DOC across the six monitoring sites was not linear, but in general lower slope was related to higher DOC (Figure</w:t>
      </w:r>
      <w:r>
        <w:t xml:space="preserve"> </w:t>
      </w:r>
      <w:r>
        <w:t xml:space="preserve">18</w:t>
      </w:r>
      <w:r>
        <w:t xml:space="preserve">). Slope was also negatively correlated to percent wetland, which is known to be linked with high DOC concentrations.</w:t>
      </w:r>
    </w:p>
    <w:p>
      <w:pPr>
        <w:pStyle w:val="BodyText"/>
      </w:pPr>
      <w:r>
        <w:t xml:space="preserve"> </w:t>
      </w:r>
    </w:p>
    <w:p>
      <w:pPr>
        <w:pStyle w:val="CaptionedFigure"/>
      </w:pPr>
      <w:r>
        <w:drawing>
          <wp:inline>
            <wp:extent cx="3669832" cy="3669832"/>
            <wp:effectExtent b="0" l="0" r="0" t="0"/>
            <wp:docPr descr="Figure 17:  : Median basin slope as a predictor variable for concentrations of dissolved organic carbon in the Leech Water Supply Area" title="" id="1" name="Picture"/>
            <a:graphic>
              <a:graphicData uri="http://schemas.openxmlformats.org/drawingml/2006/picture">
                <pic:pic>
                  <pic:nvPicPr>
                    <pic:cNvPr descr="R-outputs_UBC-forWater-MSc_HMc/figures/Ch4_RF_DOC-predictor-3-slope.png" id="0" name="Picture"/>
                    <pic:cNvPicPr>
                      <a:picLocks noChangeArrowheads="1" noChangeAspect="1"/>
                    </pic:cNvPicPr>
                  </pic:nvPicPr>
                  <pic:blipFill>
                    <a:blip r:embed="rId9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 Median basin slope as a predictor variable for concentrations of dissolved organic carbon in the Leech Water Supply Area</w:t>
      </w:r>
    </w:p>
    <w:p>
      <w:pPr>
        <w:pStyle w:val="BodyText"/>
      </w:pPr>
      <w:r>
        <w:t xml:space="preserve"> </w:t>
      </w:r>
    </w:p>
    <w:p>
      <w:pPr>
        <w:pStyle w:val="BodyText"/>
      </w:pPr>
      <w:r>
        <w:t xml:space="preserve">The fourth ranking predictor variable for DOC was metamorphic parent material, of which West Leech sub-basin had none. For the five sites that were underlain by some proportion of wark-gneiss, DOC decreased with increasing percentage of this metamorphic surficial deposit. While greater percent metamorphic material corresponded to lower DOC, the absence of wark-gneiss in West Leech sub-basin did not correspond to the highest DOC (Figure</w:t>
      </w:r>
      <w:r>
        <w:t xml:space="preserve"> </w:t>
      </w:r>
      <w:r>
        <w:t xml:space="preserve">17</w:t>
      </w:r>
      <w:r>
        <w:t xml:space="preserve">).</w:t>
      </w:r>
    </w:p>
    <w:p>
      <w:pPr>
        <w:pStyle w:val="BodyText"/>
      </w:pPr>
      <w:r>
        <w:t xml:space="preserve"> </w:t>
      </w:r>
    </w:p>
    <w:p>
      <w:pPr>
        <w:pStyle w:val="CaptionedFigure"/>
      </w:pPr>
      <w:r>
        <w:drawing>
          <wp:inline>
            <wp:extent cx="3669832" cy="3669832"/>
            <wp:effectExtent b="0" l="0" r="0" t="0"/>
            <wp:docPr descr="Figure 18:  Metamorphic parent material (Wark-Gneiss) as a predictor variable for concentrations of dissolved organic carbon (DOC) in the Leech Water Supply Area" title="" id="1" name="Picture"/>
            <a:graphic>
              <a:graphicData uri="http://schemas.openxmlformats.org/drawingml/2006/picture">
                <pic:pic>
                  <pic:nvPicPr>
                    <pic:cNvPr descr="R-outputs_UBC-forWater-MSc_HMc/figures/Ch4_RF_DOC-predictor-4-gneiss.png" id="0" name="Picture"/>
                    <pic:cNvPicPr>
                      <a:picLocks noChangeArrowheads="1" noChangeAspect="1"/>
                    </pic:cNvPicPr>
                  </pic:nvPicPr>
                  <pic:blipFill>
                    <a:blip r:embed="rId9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Metamorphic parent material (Wark-Gneiss) as a predictor variable for concentrations of dissolved organic carbon (DOC) in the Leech Water Supply Area</w:t>
      </w:r>
    </w:p>
    <w:p>
      <w:pPr>
        <w:pStyle w:val="BodyText"/>
      </w:pPr>
      <w:r>
        <w:t xml:space="preserve"> </w:t>
      </w:r>
    </w:p>
    <w:p>
      <w:pPr>
        <w:pStyle w:val="Heading4"/>
      </w:pPr>
      <w:bookmarkStart w:id="100" w:name="predicting-sac254"/>
      <w:r>
        <w:t xml:space="preserve">Predicting SAC</w:t>
      </w:r>
      <w:r>
        <w:rPr>
          <w:vertAlign w:val="subscript"/>
        </w:rPr>
        <w:t xml:space="preserve">254</w:t>
      </w:r>
      <w:bookmarkEnd w:id="100"/>
    </w:p>
    <w:p>
      <w:pPr>
        <w:pStyle w:val="FirstParagraph"/>
      </w:pPr>
      <w:r>
        <w:t xml:space="preserve"> </w:t>
      </w:r>
    </w:p>
    <w:p>
      <w:pPr>
        <w:pStyle w:val="BodyText"/>
      </w:pPr>
      <w:r>
        <w:t xml:space="preserve">Stream stage at sample collection was the most important variable to predict SAC</w:t>
      </w:r>
      <w:r>
        <w:rPr>
          <w:vertAlign w:val="subscript"/>
        </w:rPr>
        <w:t xml:space="preserve">254</w:t>
      </w:r>
      <w:r>
        <w:t xml:space="preserve">. Up to approximately 75% of maximum sampling stage at each site, SAC</w:t>
      </w:r>
      <w:r>
        <w:rPr>
          <w:vertAlign w:val="subscript"/>
        </w:rPr>
        <w:t xml:space="preserve">254</w:t>
      </w:r>
      <w:r>
        <w:t xml:space="preserve"> </w:t>
      </w:r>
      <w:r>
        <w:t xml:space="preserve">increased with increasing sampling stage and then dropped off (Figure</w:t>
      </w:r>
      <w:r>
        <w:t xml:space="preserve"> </w:t>
      </w:r>
      <w:r>
        <w:t xml:space="preserve">19</w:t>
      </w:r>
      <w:r>
        <w:t xml:space="preserve">). This indicates that as stream levels increased, so too did NOM aromaticity. The threshold level (3/4 of max stage) could suggest a point at which aromatic NOM sources were depleted.</w:t>
      </w:r>
    </w:p>
    <w:p>
      <w:pPr>
        <w:pStyle w:val="BodyText"/>
      </w:pPr>
      <w:r>
        <w:t xml:space="preserve"> </w:t>
      </w:r>
    </w:p>
    <w:p>
      <w:pPr>
        <w:pStyle w:val="CaptionedFigure"/>
      </w:pPr>
      <w:r>
        <w:drawing>
          <wp:inline>
            <wp:extent cx="3669832" cy="3669832"/>
            <wp:effectExtent b="0" l="0" r="0" t="0"/>
            <wp:docPr descr="Figure 19:  Sampling stage as a predictor variable for SAC254 in the Leech Water Supply Area (including loess trend line)" title="" id="1" name="Picture"/>
            <a:graphic>
              <a:graphicData uri="http://schemas.openxmlformats.org/drawingml/2006/picture">
                <pic:pic>
                  <pic:nvPicPr>
                    <pic:cNvPr descr="R-outputs_UBC-forWater-MSc_HMc/figures/Ch4_RF_SAC254-predictor-1-stage.png" id="0" name="Picture"/>
                    <pic:cNvPicPr>
                      <a:picLocks noChangeArrowheads="1" noChangeAspect="1"/>
                    </pic:cNvPicPr>
                  </pic:nvPicPr>
                  <pic:blipFill>
                    <a:blip r:embed="rId10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Sampling stage as a predictor variable for SAC</w:t>
      </w:r>
      <w:r>
        <w:rPr>
          <w:vertAlign w:val="subscript"/>
        </w:rPr>
        <w:t xml:space="preserve">254</w:t>
      </w:r>
      <w:r>
        <w:t xml:space="preserve"> </w:t>
      </w:r>
      <w:r>
        <w:t xml:space="preserve">in the Leech Water Supply Area (including loess trend line)</w:t>
      </w:r>
    </w:p>
    <w:p>
      <w:pPr>
        <w:pStyle w:val="BodyText"/>
      </w:pPr>
      <w:r>
        <w:t xml:space="preserve"> </w:t>
      </w:r>
    </w:p>
    <w:p>
      <w:pPr>
        <w:pStyle w:val="BodyText"/>
      </w:pPr>
      <w:r>
        <w:t xml:space="preserve">The second ranking predictor variable for SAC</w:t>
      </w:r>
      <w:r>
        <w:rPr>
          <w:vertAlign w:val="subscript"/>
        </w:rPr>
        <w:t xml:space="preserve">254</w:t>
      </w:r>
      <w:r>
        <w:t xml:space="preserve"> </w:t>
      </w:r>
      <w:r>
        <w:t xml:space="preserve">was antecedent 7-day air temperature… which is a bit difficult to interpret… more to come, or possibly this will be moved to the appendix and left out of this section… (Figure</w:t>
      </w:r>
      <w:r>
        <w:t xml:space="preserve"> </w:t>
      </w:r>
      <w:r>
        <w:t xml:space="preserve">20</w:t>
      </w:r>
      <w:r>
        <w:t xml:space="preserve">).</w:t>
      </w:r>
    </w:p>
    <w:p>
      <w:pPr>
        <w:pStyle w:val="BodyText"/>
      </w:pPr>
      <w:r>
        <w:t xml:space="preserve"> </w:t>
      </w:r>
    </w:p>
    <w:p>
      <w:pPr>
        <w:pStyle w:val="CaptionedFigure"/>
      </w:pPr>
      <w:r>
        <w:drawing>
          <wp:inline>
            <wp:extent cx="3669832" cy="3669832"/>
            <wp:effectExtent b="0" l="0" r="0" t="0"/>
            <wp:docPr descr="Figure 20:  Antecedent 7-day air temperature as a predictor variable for SAC254 in the Leech Water Supply Area (including loess trend line)" title="" id="1" name="Picture"/>
            <a:graphic>
              <a:graphicData uri="http://schemas.openxmlformats.org/drawingml/2006/picture">
                <pic:pic>
                  <pic:nvPicPr>
                    <pic:cNvPr descr="R-outputs_UBC-forWater-MSc_HMc/figures/Ch4_RF_SAC254-predictor-2-temp.png" id="0" name="Picture"/>
                    <pic:cNvPicPr>
                      <a:picLocks noChangeArrowheads="1" noChangeAspect="1"/>
                    </pic:cNvPicPr>
                  </pic:nvPicPr>
                  <pic:blipFill>
                    <a:blip r:embed="rId10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Antecedent 7-day air temperature as a predictor variable for SAC</w:t>
      </w:r>
      <w:r>
        <w:rPr>
          <w:vertAlign w:val="subscript"/>
        </w:rPr>
        <w:t xml:space="preserve">254</w:t>
      </w:r>
      <w:r>
        <w:t xml:space="preserve"> </w:t>
      </w:r>
      <w:r>
        <w:t xml:space="preserve">in the Leech Water Supply Area (including loess trend line)</w:t>
      </w:r>
    </w:p>
    <w:p>
      <w:pPr>
        <w:pStyle w:val="BodyText"/>
      </w:pPr>
      <w:r>
        <w:t xml:space="preserve"> </w:t>
      </w:r>
    </w:p>
    <w:p>
      <w:pPr>
        <w:pStyle w:val="BodyText"/>
      </w:pPr>
      <w:r>
        <w:t xml:space="preserve">Antecedent 30-day rain was ranked third most important for predicting SAC</w:t>
      </w:r>
      <w:r>
        <w:rPr>
          <w:vertAlign w:val="subscript"/>
        </w:rPr>
        <w:t xml:space="preserve">254</w:t>
      </w:r>
      <w:r>
        <w:t xml:space="preserve">, and, although there were missing values for SAC</w:t>
      </w:r>
      <w:r>
        <w:rPr>
          <w:vertAlign w:val="subscript"/>
        </w:rPr>
        <w:t xml:space="preserve">254</w:t>
      </w:r>
      <w:r>
        <w:t xml:space="preserve"> </w:t>
      </w:r>
      <w:r>
        <w:t xml:space="preserve">where DOC had data, the pattern was similar to that of DOC and 30-day antecedent rain. Rain accumulation in the 30 days prior to sample collection was positively related to SAC</w:t>
      </w:r>
      <w:r>
        <w:rPr>
          <w:vertAlign w:val="subscript"/>
        </w:rPr>
        <w:t xml:space="preserve">254</w:t>
      </w:r>
      <w:r>
        <w:t xml:space="preserve"> </w:t>
      </w:r>
      <w:r>
        <w:t xml:space="preserve">up to approximately 150 mm; SAC</w:t>
      </w:r>
      <w:r>
        <w:rPr>
          <w:vertAlign w:val="subscript"/>
        </w:rPr>
        <w:t xml:space="preserve">254</w:t>
      </w:r>
      <w:r>
        <w:t xml:space="preserve"> </w:t>
      </w:r>
      <w:r>
        <w:t xml:space="preserve">was relatively low with antecedent 30-day rain above 400 mm (Figure</w:t>
      </w:r>
      <w:r>
        <w:t xml:space="preserve"> </w:t>
      </w:r>
      <w:r>
        <w:t xml:space="preserve">21</w:t>
      </w:r>
      <w:r>
        <w:t xml:space="preserve">).</w:t>
      </w:r>
    </w:p>
    <w:p>
      <w:pPr>
        <w:pStyle w:val="BodyText"/>
      </w:pPr>
      <w:r>
        <w:t xml:space="preserve"> </w:t>
      </w:r>
    </w:p>
    <w:p>
      <w:pPr>
        <w:pStyle w:val="CaptionedFigure"/>
      </w:pPr>
      <w:r>
        <w:drawing>
          <wp:inline>
            <wp:extent cx="3669832" cy="3669832"/>
            <wp:effectExtent b="0" l="0" r="0" t="0"/>
            <wp:docPr descr="Figure 21:  Antecedent 30-day rain as a predictor variable for of SAC254 in the Leech Water Supply Area (including loess trend line with uncertainty shaded in grey)" title="" id="1" name="Picture"/>
            <a:graphic>
              <a:graphicData uri="http://schemas.openxmlformats.org/drawingml/2006/picture">
                <pic:pic>
                  <pic:nvPicPr>
                    <pic:cNvPr descr="R-outputs_UBC-forWater-MSc_HMc/figures/Ch4_RF_SAC254-predictor-3-rain.png" id="0" name="Picture"/>
                    <pic:cNvPicPr>
                      <a:picLocks noChangeArrowheads="1" noChangeAspect="1"/>
                    </pic:cNvPicPr>
                  </pic:nvPicPr>
                  <pic:blipFill>
                    <a:blip r:embed="rId10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Antecedent 30-day rain as a predictor variable for of SAC</w:t>
      </w:r>
      <w:r>
        <w:rPr>
          <w:vertAlign w:val="subscript"/>
        </w:rPr>
        <w:t xml:space="preserve">254</w:t>
      </w:r>
      <w:r>
        <w:t xml:space="preserve"> </w:t>
      </w:r>
      <w:r>
        <w:t xml:space="preserve">in the Leech Water Supply Area (including loess trend line with uncertainty shaded in grey)</w:t>
      </w:r>
    </w:p>
    <w:p>
      <w:pPr>
        <w:pStyle w:val="BodyText"/>
      </w:pPr>
      <w:r>
        <w:t xml:space="preserve"> </w:t>
      </w:r>
    </w:p>
    <w:p>
      <w:pPr>
        <w:pStyle w:val="BodyText"/>
      </w:pPr>
      <w:r>
        <w:t xml:space="preserve">Ranking fourth for predicting SAC</w:t>
      </w:r>
      <w:r>
        <w:rPr>
          <w:vertAlign w:val="subscript"/>
        </w:rPr>
        <w:t xml:space="preserve">254</w:t>
      </w:r>
      <w:r>
        <w:t xml:space="preserve"> </w:t>
      </w:r>
      <w:r>
        <w:t xml:space="preserve">was metamorphic parent material. Like DOC, greater metamorphic parent material corresponded with lower SAC</w:t>
      </w:r>
      <w:r>
        <w:rPr>
          <w:vertAlign w:val="subscript"/>
        </w:rPr>
        <w:t xml:space="preserve">254</w:t>
      </w:r>
      <w:r>
        <w:t xml:space="preserve"> </w:t>
      </w:r>
      <w:r>
        <w:t xml:space="preserve">values, but the absence of wark-gneiss did not correspond to the sub-basin with the highest SAC</w:t>
      </w:r>
      <w:r>
        <w:rPr>
          <w:vertAlign w:val="subscript"/>
        </w:rPr>
        <w:t xml:space="preserve">254</w:t>
      </w:r>
      <w:r>
        <w:t xml:space="preserve"> </w:t>
      </w:r>
      <w:r>
        <w:t xml:space="preserve">(Figure</w:t>
      </w:r>
      <w:r>
        <w:t xml:space="preserve"> </w:t>
      </w:r>
      <w:r>
        <w:t xml:space="preserve">22</w:t>
      </w:r>
      <w:r>
        <w:t xml:space="preserve">).</w:t>
      </w:r>
    </w:p>
    <w:p>
      <w:pPr>
        <w:pStyle w:val="BodyText"/>
      </w:pPr>
      <w:r>
        <w:t xml:space="preserve"> </w:t>
      </w:r>
    </w:p>
    <w:p>
      <w:pPr>
        <w:pStyle w:val="CaptionedFigure"/>
      </w:pPr>
      <w:r>
        <w:drawing>
          <wp:inline>
            <wp:extent cx="3669832" cy="3669832"/>
            <wp:effectExtent b="0" l="0" r="0" t="0"/>
            <wp:docPr descr="Figure 22:  Metamorphic parent material (Wark-Gneiss) as a predictor variable of SAC254 in the Leech Water Supply Area" title="" id="1" name="Picture"/>
            <a:graphic>
              <a:graphicData uri="http://schemas.openxmlformats.org/drawingml/2006/picture">
                <pic:pic>
                  <pic:nvPicPr>
                    <pic:cNvPr descr="R-outputs_UBC-forWater-MSc_HMc/figures/Ch4_RF_SAC254-predictor-4-metamorphic.png" id="0" name="Picture"/>
                    <pic:cNvPicPr>
                      <a:picLocks noChangeArrowheads="1" noChangeAspect="1"/>
                    </pic:cNvPicPr>
                  </pic:nvPicPr>
                  <pic:blipFill>
                    <a:blip r:embed="rId10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Metamorphic parent material (Wark-Gneiss) as a predictor variable of SAC</w:t>
      </w:r>
      <w:r>
        <w:rPr>
          <w:vertAlign w:val="subscript"/>
        </w:rPr>
        <w:t xml:space="preserve">254</w:t>
      </w:r>
      <w:r>
        <w:t xml:space="preserve"> </w:t>
      </w:r>
      <w:r>
        <w:t xml:space="preserve">in the Leech Water Supply Area</w:t>
      </w:r>
    </w:p>
    <w:p>
      <w:pPr>
        <w:pStyle w:val="BodyText"/>
      </w:pPr>
      <w:r>
        <w:t xml:space="preserve"> </w:t>
      </w:r>
    </w:p>
    <w:p>
      <w:pPr>
        <w:pStyle w:val="BodyText"/>
      </w:pPr>
      <w:r>
        <w:t xml:space="preserve"> </w:t>
      </w:r>
    </w:p>
    <w:p>
      <w:pPr>
        <w:pStyle w:val="Heading4"/>
      </w:pPr>
      <w:bookmarkStart w:id="105" w:name="predicting-e2e3"/>
      <w:r>
        <w:t xml:space="preserve">Predicting E</w:t>
      </w:r>
      <w:r>
        <w:rPr>
          <w:vertAlign w:val="subscript"/>
        </w:rPr>
        <w:t xml:space="preserve">2</w:t>
      </w:r>
      <w:r>
        <w:t xml:space="preserve">:E</w:t>
      </w:r>
      <w:r>
        <w:rPr>
          <w:vertAlign w:val="subscript"/>
        </w:rPr>
        <w:t xml:space="preserve">3</w:t>
      </w:r>
      <w:bookmarkEnd w:id="105"/>
    </w:p>
    <w:p>
      <w:pPr>
        <w:pStyle w:val="FirstParagraph"/>
      </w:pPr>
      <w:r>
        <w:t xml:space="preserve"> </w:t>
      </w:r>
    </w:p>
    <w:p>
      <w:pPr>
        <w:pStyle w:val="BodyText"/>
      </w:pPr>
      <w:r>
        <w:t xml:space="preserve">As a predictor for E</w:t>
      </w:r>
      <w:r>
        <w:rPr>
          <w:vertAlign w:val="subscript"/>
        </w:rPr>
        <w:t xml:space="preserve">2</w:t>
      </w:r>
      <w:r>
        <w:t xml:space="preserve">:E</w:t>
      </w:r>
      <w:r>
        <w:rPr>
          <w:vertAlign w:val="subscript"/>
        </w:rPr>
        <w:t xml:space="preserve">3</w:t>
      </w:r>
      <w:r>
        <w:t xml:space="preserve">, antecedent 30-day rain was ranked most important. Similar to the patterns seen with DOC and SAC</w:t>
      </w:r>
      <w:r>
        <w:rPr>
          <w:vertAlign w:val="subscript"/>
        </w:rPr>
        <w:t xml:space="preserve">254</w:t>
      </w:r>
      <w:r>
        <w:t xml:space="preserve">, there was an initial positive relationship up to approximately 150 mm of antecedent 30-day rain, then E</w:t>
      </w:r>
      <w:r>
        <w:rPr>
          <w:vertAlign w:val="subscript"/>
        </w:rPr>
        <w:t xml:space="preserve">2</w:t>
      </w:r>
      <w:r>
        <w:t xml:space="preserve">:E</w:t>
      </w:r>
      <w:r>
        <w:rPr>
          <w:vertAlign w:val="subscript"/>
        </w:rPr>
        <w:t xml:space="preserve">3</w:t>
      </w:r>
      <w:r>
        <w:t xml:space="preserve"> </w:t>
      </w:r>
      <w:r>
        <w:t xml:space="preserve">decreased until antecedent 30-day rain reached around 300 mm at which point E</w:t>
      </w:r>
      <w:r>
        <w:rPr>
          <w:vertAlign w:val="subscript"/>
        </w:rPr>
        <w:t xml:space="preserve">2</w:t>
      </w:r>
      <w:r>
        <w:t xml:space="preserve">:E</w:t>
      </w:r>
      <w:r>
        <w:rPr>
          <w:vertAlign w:val="subscript"/>
        </w:rPr>
        <w:t xml:space="preserve">3</w:t>
      </w:r>
      <w:r>
        <w:t xml:space="preserve"> </w:t>
      </w:r>
      <w:r>
        <w:t xml:space="preserve">more or less plateaued (Figure</w:t>
      </w:r>
      <w:r>
        <w:t xml:space="preserve"> </w:t>
      </w:r>
      <w:r>
        <w:t xml:space="preserve">23</w:t>
      </w:r>
      <w:r>
        <w:t xml:space="preserve">).</w:t>
      </w:r>
    </w:p>
    <w:p>
      <w:pPr>
        <w:pStyle w:val="BodyText"/>
      </w:pPr>
      <w:r>
        <w:t xml:space="preserve"> </w:t>
      </w:r>
    </w:p>
    <w:p>
      <w:pPr>
        <w:pStyle w:val="CaptionedFigure"/>
      </w:pPr>
      <w:r>
        <w:drawing>
          <wp:inline>
            <wp:extent cx="3669832" cy="3669832"/>
            <wp:effectExtent b="0" l="0" r="0" t="0"/>
            <wp:docPr descr="Figure 23:  Antecedent 30-day rain as a predictor variable for of E2:E3 in the Leech Water Supply Area (including loess trend line)" title="" id="1" name="Picture"/>
            <a:graphic>
              <a:graphicData uri="http://schemas.openxmlformats.org/drawingml/2006/picture">
                <pic:pic>
                  <pic:nvPicPr>
                    <pic:cNvPr descr="R-outputs_UBC-forWater-MSc_HMc/figures/Ch4_RF_E2E3-predictor-1-rain.png" id="0" name="Picture"/>
                    <pic:cNvPicPr>
                      <a:picLocks noChangeArrowheads="1" noChangeAspect="1"/>
                    </pic:cNvPicPr>
                  </pic:nvPicPr>
                  <pic:blipFill>
                    <a:blip r:embed="rId10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Antecedent 30-day rain as a predictor variable for of E</w:t>
      </w:r>
      <w:r>
        <w:rPr>
          <w:vertAlign w:val="subscript"/>
        </w:rPr>
        <w:t xml:space="preserve">2</w:t>
      </w:r>
      <w:r>
        <w:t xml:space="preserve">:E</w:t>
      </w:r>
      <w:r>
        <w:rPr>
          <w:vertAlign w:val="subscript"/>
        </w:rPr>
        <w:t xml:space="preserve">3</w:t>
      </w:r>
      <w:r>
        <w:t xml:space="preserve"> </w:t>
      </w:r>
      <w:r>
        <w:t xml:space="preserve">in the Leech Water Supply Area (including loess trend line)</w:t>
      </w:r>
    </w:p>
    <w:p>
      <w:pPr>
        <w:pStyle w:val="BodyText"/>
      </w:pPr>
      <w:r>
        <w:t xml:space="preserve"> </w:t>
      </w:r>
    </w:p>
    <w:p>
      <w:pPr>
        <w:pStyle w:val="BodyText"/>
      </w:pPr>
      <w:r>
        <w:t xml:space="preserve">The second most important predictor was sampling stage which was inversely related to E</w:t>
      </w:r>
      <w:r>
        <w:rPr>
          <w:vertAlign w:val="subscript"/>
        </w:rPr>
        <w:t xml:space="preserve">2</w:t>
      </w:r>
      <w:r>
        <w:t xml:space="preserve">:E</w:t>
      </w:r>
      <w:r>
        <w:rPr>
          <w:vertAlign w:val="subscript"/>
        </w:rPr>
        <w:t xml:space="preserve">3</w:t>
      </w:r>
      <w:r>
        <w:t xml:space="preserve"> </w:t>
      </w:r>
      <w:r>
        <w:t xml:space="preserve">(Figure</w:t>
      </w:r>
      <w:r>
        <w:t xml:space="preserve"> </w:t>
      </w:r>
      <w:r>
        <w:t xml:space="preserve">24</w:t>
      </w:r>
      <w:r>
        <w:t xml:space="preserve">). This shows that as stream stage increased across the Leech WSA, so too did aromaticity and/or NOM molecular size. Similar to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75% of maximum stage, indicating a threshold at which aromaticity no longer increased; possibly due to the aromatic pool being exhausted, or possibly that the most aromatic sources had reached peak connectivity to the streams and the NOM could get no more humic in nature.</w:t>
      </w:r>
    </w:p>
    <w:p>
      <w:pPr>
        <w:pStyle w:val="BodyText"/>
      </w:pPr>
      <w:r>
        <w:t xml:space="preserve"> </w:t>
      </w:r>
    </w:p>
    <w:p>
      <w:pPr>
        <w:pStyle w:val="CaptionedFigure"/>
      </w:pPr>
      <w:r>
        <w:drawing>
          <wp:inline>
            <wp:extent cx="3669832" cy="3669832"/>
            <wp:effectExtent b="0" l="0" r="0" t="0"/>
            <wp:docPr descr="Figure 24:  Sampling stage as a predictor variable for E2:E3 in the Leech Water Supply Area (including loess trend line)" title="" id="1" name="Picture"/>
            <a:graphic>
              <a:graphicData uri="http://schemas.openxmlformats.org/drawingml/2006/picture">
                <pic:pic>
                  <pic:nvPicPr>
                    <pic:cNvPr descr="R-outputs_UBC-forWater-MSc_HMc/figures/Ch4_RF_E2E3-predictor-2-stage.png" id="0" name="Picture"/>
                    <pic:cNvPicPr>
                      <a:picLocks noChangeArrowheads="1" noChangeAspect="1"/>
                    </pic:cNvPicPr>
                  </pic:nvPicPr>
                  <pic:blipFill>
                    <a:blip r:embed="rId10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Sampling stage as a predictor variable for E</w:t>
      </w:r>
      <w:r>
        <w:rPr>
          <w:vertAlign w:val="subscript"/>
        </w:rPr>
        <w:t xml:space="preserve">2</w:t>
      </w:r>
      <w:r>
        <w:t xml:space="preserve">:E</w:t>
      </w:r>
      <w:r>
        <w:rPr>
          <w:vertAlign w:val="subscript"/>
        </w:rPr>
        <w:t xml:space="preserve">3</w:t>
      </w:r>
      <w:r>
        <w:t xml:space="preserve"> </w:t>
      </w:r>
      <w:r>
        <w:t xml:space="preserve">in the Leech Water Supply Area (including loess trend line)</w:t>
      </w:r>
    </w:p>
    <w:p>
      <w:pPr>
        <w:pStyle w:val="BodyText"/>
      </w:pPr>
      <w:r>
        <w:t xml:space="preserve"> </w:t>
      </w:r>
    </w:p>
    <w:p>
      <w:pPr>
        <w:pStyle w:val="BodyText"/>
      </w:pPr>
      <w:r>
        <w:t xml:space="preserve">Ranking third for variable importance in predicting E</w:t>
      </w:r>
      <w:r>
        <w:rPr>
          <w:vertAlign w:val="subscript"/>
        </w:rPr>
        <w:t xml:space="preserve">2</w:t>
      </w:r>
      <w:r>
        <w:t xml:space="preserve">:E</w:t>
      </w:r>
      <w:r>
        <w:rPr>
          <w:vertAlign w:val="subscript"/>
        </w:rPr>
        <w:t xml:space="preserve">3</w:t>
      </w:r>
      <w:r>
        <w:t xml:space="preserve"> </w:t>
      </w:r>
      <w:r>
        <w:t xml:space="preserve">was average tree age in each monitoring basin. Tree age was partially due to forest harvest, which was the fifth ranked VIM predictor, so these two variables were plotted together for interpretation. 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Tunnel, Cragg crk), which showed increasing E</w:t>
      </w:r>
      <w:r>
        <w:rPr>
          <w:vertAlign w:val="subscript"/>
        </w:rPr>
        <w:t xml:space="preserve">2</w:t>
      </w:r>
      <w:r>
        <w:t xml:space="preserve">:E</w:t>
      </w:r>
      <w:r>
        <w:rPr>
          <w:vertAlign w:val="subscript"/>
        </w:rPr>
        <w:t xml:space="preserve">3</w:t>
      </w:r>
      <w:r>
        <w:t xml:space="preserve"> </w:t>
      </w:r>
      <w:r>
        <w:t xml:space="preserve">with percent area harvested over the past 31 years. However, Leech-head and Chris creek sub-basins, which had higher percent harvest over the past 31 years (thus youngest trees) did not continue this pattern (Figure</w:t>
      </w:r>
      <w:r>
        <w:t xml:space="preserve"> </w:t>
      </w:r>
      <w:r>
        <w:t xml:space="preserve">25</w:t>
      </w:r>
      <w:r>
        <w:t xml:space="preserve">). These results suggests that NOM character was less aromatic in more heavily harvest sub-basins. …{?}</w:t>
      </w:r>
    </w:p>
    <w:p>
      <w:pPr>
        <w:pStyle w:val="BodyText"/>
      </w:pPr>
      <w:r>
        <w:t xml:space="preserve"> </w:t>
      </w:r>
    </w:p>
    <w:p>
      <w:pPr>
        <w:pStyle w:val="CaptionedFigure"/>
      </w:pPr>
      <w:r>
        <w:drawing>
          <wp:inline>
            <wp:extent cx="3669832" cy="5504749"/>
            <wp:effectExtent b="0" l="0" r="0" t="0"/>
            <wp:docPr descr="Figure 25:  Average tree age and percent basin area harvested as predictors for E2:E3 in the Leech Water Supply Area" title="" id="1" name="Picture"/>
            <a:graphic>
              <a:graphicData uri="http://schemas.openxmlformats.org/drawingml/2006/picture">
                <pic:pic>
                  <pic:nvPicPr>
                    <pic:cNvPr descr="R-outputs_UBC-forWater-MSc_HMc/figures/Ch4_RF_E2E3-predictor-3n4-Trees-Logging.png" id="0" name="Picture"/>
                    <pic:cNvPicPr>
                      <a:picLocks noChangeArrowheads="1" noChangeAspect="1"/>
                    </pic:cNvPicPr>
                  </pic:nvPicPr>
                  <pic:blipFill>
                    <a:blip r:embed="rId108"/>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Average tree age and percent basin area harvested as predictors for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Metamorphic parent material ranked fourth in importance for predicting E</w:t>
      </w:r>
      <w:r>
        <w:rPr>
          <w:vertAlign w:val="subscript"/>
        </w:rPr>
        <w:t xml:space="preserve">2</w:t>
      </w:r>
      <w:r>
        <w:t xml:space="preserve">:E</w:t>
      </w:r>
      <w:r>
        <w:rPr>
          <w:vertAlign w:val="subscript"/>
        </w:rPr>
        <w:t xml:space="preserve">3</w:t>
      </w:r>
      <w:r>
        <w:t xml:space="preserve">, which showed agreement with DOC and SAC</w:t>
      </w:r>
      <w:r>
        <w:rPr>
          <w:vertAlign w:val="subscript"/>
        </w:rPr>
        <w:t xml:space="preserve">254</w:t>
      </w:r>
      <w:r>
        <w:t xml:space="preserve">. Greater metamorphic parent material corresponded to lower aromaticity and molecular weight (higher E</w:t>
      </w:r>
      <w:r>
        <w:rPr>
          <w:vertAlign w:val="subscript"/>
        </w:rPr>
        <w:t xml:space="preserve">2</w:t>
      </w:r>
      <w:r>
        <w:t xml:space="preserve">:E</w:t>
      </w:r>
      <w:r>
        <w:rPr>
          <w:vertAlign w:val="subscript"/>
        </w:rPr>
        <w:t xml:space="preserve">3</w:t>
      </w:r>
      <w:r>
        <w:t xml:space="preserve"> </w:t>
      </w:r>
      <w:r>
        <w:t xml:space="preserve">values). In contrast to DOC and SAC</w:t>
      </w:r>
      <w:r>
        <w:rPr>
          <w:vertAlign w:val="subscript"/>
        </w:rPr>
        <w:t xml:space="preserve">254</w:t>
      </w:r>
      <w:r>
        <w:t xml:space="preserve"> </w:t>
      </w:r>
      <w:r>
        <w:t xml:space="preserve">the absence of wark-gneiss did correspond to the lowest mean E</w:t>
      </w:r>
      <w:r>
        <w:rPr>
          <w:vertAlign w:val="subscript"/>
        </w:rPr>
        <w:t xml:space="preserve">2</w:t>
      </w:r>
      <w:r>
        <w:t xml:space="preserve">:E</w:t>
      </w:r>
      <w:r>
        <w:rPr>
          <w:vertAlign w:val="subscript"/>
        </w:rPr>
        <w:t xml:space="preserve">3</w:t>
      </w:r>
      <w:r>
        <w:t xml:space="preserve">, the sub-basin with the greatest aromaticity and molecular weight (Figure</w:t>
      </w:r>
      <w:r>
        <w:t xml:space="preserve"> </w:t>
      </w:r>
      <w:r>
        <w:t xml:space="preserve">26</w:t>
      </w:r>
      <w:r>
        <w:t xml:space="preserve">).</w:t>
      </w:r>
    </w:p>
    <w:p>
      <w:pPr>
        <w:pStyle w:val="BodyText"/>
      </w:pPr>
      <w:r>
        <w:t xml:space="preserve"> </w:t>
      </w:r>
    </w:p>
    <w:p>
      <w:pPr>
        <w:pStyle w:val="CaptionedFigure"/>
      </w:pPr>
      <w:r>
        <w:drawing>
          <wp:inline>
            <wp:extent cx="3669832" cy="3669832"/>
            <wp:effectExtent b="0" l="0" r="0" t="0"/>
            <wp:docPr descr="Figure 26:  Metamorphic parent material (Wark-Gneiss) as a predictor variable of E2:E3 in the Leech Water Supply Area" title="" id="1" name="Picture"/>
            <a:graphic>
              <a:graphicData uri="http://schemas.openxmlformats.org/drawingml/2006/picture">
                <pic:pic>
                  <pic:nvPicPr>
                    <pic:cNvPr descr="R-outputs_UBC-forWater-MSc_HMc/figures/Ch4_RF_E2E3-predictor-5-metamorphic.png" id="0" name="Picture"/>
                    <pic:cNvPicPr>
                      <a:picLocks noChangeArrowheads="1" noChangeAspect="1"/>
                    </pic:cNvPicPr>
                  </pic:nvPicPr>
                  <pic:blipFill>
                    <a:blip r:embed="rId10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Metamorphic parent material (Wark-Gneiss) as a predictor variable of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NOM concentration and aromaticity in sub-basins with wark-gneiss parent material showed a negative relationship to this metamorphic parent material.</w:t>
      </w:r>
    </w:p>
    <w:p>
      <w:pPr>
        <w:pStyle w:val="BodyText"/>
      </w:pPr>
      <w:r>
        <w:t xml:space="preserve"> </w:t>
      </w:r>
    </w:p>
    <w:p>
      <w:pPr>
        <w:pStyle w:val="BodyText"/>
      </w:pPr>
      <w:r>
        <w:t xml:space="preserve">Like concentration, NOM character was driven by antecedent wetness but only up to a threshold of approximately 150 mm of 30-day antecedent rain. After this threshold, the relationship was no longer positive. In a similar way, NOM aromaticity increased with increasing sample collection stage up to approximately 75% of maximum stage at each site.</w:t>
      </w:r>
    </w:p>
    <w:p>
      <w:pPr>
        <w:pStyle w:val="BodyText"/>
      </w:pPr>
      <w:r>
        <w:t xml:space="preserve"> </w:t>
      </w:r>
    </w:p>
    <w:p>
      <w:pPr>
        <w:pStyle w:val="Heading4"/>
      </w:pPr>
      <w:bookmarkStart w:id="110" w:name="X1c0fdbc26234d467410dcb50e02a405f4948b31"/>
      <w:r>
        <w:t xml:space="preserve">Evaluating rain events with NOM concentration and character</w:t>
      </w:r>
      <w:bookmarkEnd w:id="110"/>
    </w:p>
    <w:p>
      <w:pPr>
        <w:pStyle w:val="FirstParagraph"/>
      </w:pPr>
      <w:r>
        <w:t xml:space="preserve"> </w:t>
      </w:r>
    </w:p>
    <w:p>
      <w:pPr>
        <w:pStyle w:val="BodyText"/>
      </w:pPr>
      <w:r>
        <w:t xml:space="preserve">Antecedent moisture was important for each of the three predictant variables evaluated though RF VIM. Across the Leech WSA, the highest DOC occurred in the earliest events of each wet season (events 1 &amp; 9, Table</w:t>
      </w:r>
      <w:r>
        <w:t xml:space="preserve"> </w:t>
      </w:r>
      <w:r>
        <w:t xml:space="preserve">15</w:t>
      </w:r>
      <w:r>
        <w:t xml:space="preserve">), while SAC</w:t>
      </w:r>
      <w:r>
        <w:rPr>
          <w:vertAlign w:val="subscript"/>
        </w:rPr>
        <w:t xml:space="preserve">254</w:t>
      </w:r>
      <w:r>
        <w:t xml:space="preserve"> </w:t>
      </w:r>
      <w:r>
        <w:t xml:space="preserve">peaked later than DOC during the third major event in the 2019/2020 wet season (event 11, Table</w:t>
      </w:r>
      <w:r>
        <w:t xml:space="preserve"> </w:t>
      </w:r>
      <w:r>
        <w:t xml:space="preserve">15</w:t>
      </w:r>
      <w:r>
        <w:t xml:space="preserve">). While E</w:t>
      </w:r>
      <w:r>
        <w:rPr>
          <w:vertAlign w:val="subscript"/>
        </w:rPr>
        <w:t xml:space="preserve">2</w:t>
      </w:r>
      <w:r>
        <w:t xml:space="preserve">:E</w:t>
      </w:r>
      <w:r>
        <w:rPr>
          <w:vertAlign w:val="subscript"/>
        </w:rPr>
        <w:t xml:space="preserve">3</w:t>
      </w:r>
      <w:r>
        <w:t xml:space="preserve"> </w:t>
      </w:r>
      <w:r>
        <w:t xml:space="preserve">indicated maximum aromaticity and molecular size occurred during the last major events, at the end of each wet season (events 3 &amp; 17, Table</w:t>
      </w:r>
      <w:r>
        <w:t xml:space="preserve"> </w:t>
      </w:r>
      <w:r>
        <w:t xml:space="preserve">15</w:t>
      </w:r>
      <w:r>
        <w:t xml:space="preserve">).</w:t>
      </w:r>
    </w:p>
    <w:p>
      <w:pPr>
        <w:pStyle w:val="BodyText"/>
      </w:pPr>
      <w:r>
        <w:t xml:space="preserve"> </w:t>
      </w:r>
    </w:p>
    <w:p>
      <w:pPr>
        <w:pStyle w:val="TableCaption"/>
      </w:pPr>
      <w:r>
        <w:t xml:space="preserve">Table 15: Rain Events (Threshold of 50 mm and 14-hour Inter-event Period) Defined by Vertical Rack Sample Collection Across the Six monitoring Sites of the Leech WSA</w:t>
      </w:r>
    </w:p>
    <w:tbl>
      <w:tblPr>
        <w:tblStyle w:val="Table"/>
        <w:tblW w:type="pct" w:w="5000.0"/>
        <w:tblLook w:firstRow="1"/>
        <w:tblCaption w:val="Table 15: Rain Events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Moisture was important to each of the three predictant variables, so a comparison between the wet and dry season sample results was done to assess difference in spatial patterns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creek had much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27</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As we know from Chapter 3, DOC concentrations decreased from headwaters to mouth in both the wet and dry seasons, with the greatest dry-season variance at the head (Weeks) and mouth (Tunnel).</w:t>
      </w:r>
    </w:p>
    <w:p>
      <w:pPr>
        <w:pStyle w:val="BodyText"/>
      </w:pPr>
      <w:r>
        <w:t xml:space="preserve"> </w:t>
      </w:r>
    </w:p>
    <w:p>
      <w:pPr>
        <w:pStyle w:val="BodyText"/>
      </w:pPr>
      <w:r>
        <w:t xml:space="preserve">The dry season patterns of decreasing DOC and SAC</w:t>
      </w:r>
      <w:r>
        <w:rPr>
          <w:vertAlign w:val="subscript"/>
        </w:rPr>
        <w:t xml:space="preserve">254</w:t>
      </w:r>
      <w:r>
        <w:t xml:space="preserve"> </w:t>
      </w:r>
      <w:r>
        <w:t xml:space="preserve">from low- to high-order streams were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differenced suggest a possible shift in NOM source material, and also a possible dilution effect.</w:t>
      </w:r>
    </w:p>
    <w:p>
      <w:pPr>
        <w:pStyle w:val="BodyText"/>
      </w:pPr>
      <w:r>
        <w:t xml:space="preserve"> </w:t>
      </w:r>
    </w:p>
    <w:p>
      <w:pPr>
        <w:pStyle w:val="CaptionedFigure"/>
      </w:pPr>
      <w:r>
        <w:drawing>
          <wp:inline>
            <wp:extent cx="5504749" cy="5504749"/>
            <wp:effectExtent b="0" l="0" r="0" t="0"/>
            <wp:docPr descr="Figure 27:  Sample results over the dry and wet seasons for [A] dissolved organic carbon concentrations (DOC), [B] specific absorbance coefficient at 254 nm (SAC254, m-1), and [C] the quotient of SAC250/SAC365 (E2:E3). Note that each season has a differnt y-scale to clarify patterns. The inset in panel B is an elargement of SAC254 for all sites except Weeks."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1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differnt y-scale to clarify patterns. The inset in panel B is an elargement of SAC</w:t>
      </w:r>
      <w:r>
        <w:rPr>
          <w:vertAlign w:val="subscript"/>
        </w:rPr>
        <w:t xml:space="preserve">254</w:t>
      </w:r>
      <w:r>
        <w:t xml:space="preserve"> </w:t>
      </w:r>
      <w:r>
        <w:t xml:space="preserve">for all sites except Weeks.</w:t>
      </w:r>
    </w:p>
    <w:p>
      <w:pPr>
        <w:pStyle w:val="BodyText"/>
      </w:pPr>
      <w:r>
        <w:t xml:space="preserve"> </w:t>
      </w:r>
    </w:p>
    <w:p>
      <w:pPr>
        <w:pStyle w:val="Heading5"/>
      </w:pPr>
      <w:bookmarkStart w:id="112" w:name="Xda7c554d98d650777bb9b10b0e50d18651a158d"/>
      <w:r>
        <w:t xml:space="preserve">Rising stage and NOM dynamics across the LWSA</w:t>
      </w:r>
      <w:bookmarkEnd w:id="112"/>
    </w:p>
    <w:p>
      <w:pPr>
        <w:pStyle w:val="FirstParagraph"/>
      </w:pPr>
      <w:r>
        <w:t xml:space="preserve">Streams across the Leech WSA responded harmoniously to precipitation with synchronous changes in stage. Over the full sixteen-month study period, stage changes at the six sites were temporally synchronized and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BodyText"/>
      </w:pPr>
      <w:r>
        <w:t xml:space="preserve">Rates of change in stream response were calculated for each site to evaluate the fastest and slowest times to peak stage and relative magnitudes of change (Table</w:t>
      </w:r>
      <w:r>
        <w:t xml:space="preserve"> </w:t>
      </w:r>
      <w:r>
        <w:t xml:space="preserve">16</w:t>
      </w:r>
      <w:r>
        <w:t xml:space="preserve">). As expected, rate of change in stage was greatest at the highest order stream, the Tunnel site, and smallest at Weeks creek.</w:t>
      </w:r>
    </w:p>
    <w:p>
      <w:pPr>
        <w:pStyle w:val="BodyText"/>
      </w:pPr>
      <w:r>
        <w:t xml:space="preserve"> </w:t>
      </w:r>
    </w:p>
    <w:p>
      <w:pPr>
        <w:pStyle w:val="TableCaption"/>
      </w:pPr>
      <w:r>
        <w:t xml:space="preserve">Table 16: Summary of Stream Response to Rain Events Across Six Monitoring sites in the Leech Water Supply Area.</w:t>
      </w:r>
    </w:p>
    <w:tbl>
      <w:tblPr>
        <w:tblStyle w:val="Table"/>
        <w:tblW w:type="pct" w:w="5000.0"/>
        <w:tblLook w:firstRow="1"/>
        <w:tblCaption w:val="Table 16: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is a similar harmony was present for fluctuations in DOC or spectral properties, the proportion of common DOC and stage extrema samples were calculated (Table</w:t>
      </w:r>
      <w:r>
        <w:t xml:space="preserve"> </w:t>
      </w:r>
      <w:r>
        <w:t xml:space="preserve">17</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17: Proportion of Samples for Which Peak Dissolved Organic Carbon (DOC) was Collected at the Highest Sample Stage.</w:t>
      </w:r>
    </w:p>
    <w:tbl>
      <w:tblPr>
        <w:tblStyle w:val="Table"/>
        <w:tblW w:type="pct" w:w="0.0"/>
        <w:tblLook w:firstRow="1"/>
        <w:tblCaption w:val="Table 17: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Each of the six site’s samples showed majority, but not absolute, agreement in extremes of DOC-stage relationships. In general DOC concentrations were lowest at the beginning of events and increased with a rise in stage (Figure</w:t>
      </w:r>
      <w:r>
        <w:t xml:space="preserve"> </w:t>
      </w:r>
      <w:r>
        <w:t xml:space="preserve">28</w:t>
      </w:r>
      <w:r>
        <w:t xml:space="preserve">).</w:t>
      </w:r>
    </w:p>
    <w:p>
      <w:pPr>
        <w:pStyle w:val="BodyText"/>
      </w:pPr>
      <w:r>
        <w:t xml:space="preserve"> </w:t>
      </w:r>
    </w:p>
    <w:p>
      <w:pPr>
        <w:pStyle w:val="CaptionedFigure"/>
      </w:pPr>
      <w:r>
        <w:drawing>
          <wp:inline>
            <wp:extent cx="5943600" cy="6339839"/>
            <wp:effectExtent b="0" l="0" r="0" t="0"/>
            <wp:docPr descr="Figure 28: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13"/>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Changes in DOC during events varied from a little more than 1% DOC change to nearly 100% change during event response (Table</w:t>
      </w:r>
      <w:r>
        <w:t xml:space="preserve"> </w:t>
      </w:r>
      <w:r>
        <w:t xml:space="preserve">18</w:t>
      </w:r>
      <w:r>
        <w:t xml:space="preserve">).</w:t>
      </w:r>
    </w:p>
    <w:p>
      <w:pPr>
        <w:pStyle w:val="BodyText"/>
      </w:pPr>
      <w:r>
        <w:t xml:space="preserve"> </w:t>
      </w:r>
    </w:p>
    <w:p>
      <w:pPr>
        <w:pStyle w:val="Compact"/>
        <w:numPr>
          <w:numId w:val="1003"/>
          <w:ilvl w:val="0"/>
        </w:numPr>
      </w:pPr>
      <w:r>
        <w:t xml:space="preserve">Still to do:</w:t>
      </w:r>
      <w:r>
        <w:rPr>
          <w:i/>
          <w:b/>
        </w:rPr>
        <w:t xml:space="preserve">look at individual events and pull out interesting facts (during this event, DOC concentration tripled or doubled, etc)… + differences among events</w:t>
      </w:r>
    </w:p>
    <w:p>
      <w:pPr>
        <w:pStyle w:val="FirstParagraph"/>
      </w:pPr>
      <w:r>
        <w:t xml:space="preserve"> </w:t>
      </w:r>
    </w:p>
    <w:p>
      <w:pPr>
        <w:pStyle w:val="TableCaption"/>
      </w:pPr>
      <w:r>
        <w:t xml:space="preserve">Table 18: Summary of DOC Changes Within Stormflow Response to Precipitation Events Across the Leech WSA (Samples from Wet Season Only).</w:t>
      </w:r>
    </w:p>
    <w:tbl>
      <w:tblPr>
        <w:tblStyle w:val="Table"/>
        <w:tblW w:type="pct" w:w="5000.0"/>
        <w:tblLook w:firstRow="1"/>
        <w:tblCaption w:val="Table 18: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 (Figure</w:t>
      </w:r>
      <w:r>
        <w:t xml:space="preserve"> </w:t>
      </w:r>
      <w:r>
        <w:t xml:space="preserve">29</w:t>
      </w:r>
      <w:r>
        <w:t xml:space="preserve">).</w:t>
      </w:r>
    </w:p>
    <w:p>
      <w:pPr>
        <w:pStyle w:val="BodyText"/>
      </w:pPr>
      <w:r>
        <w:t xml:space="preserve"> </w:t>
      </w:r>
    </w:p>
    <w:p>
      <w:pPr>
        <w:pStyle w:val="CaptionedFigure"/>
      </w:pPr>
      <w:r>
        <w:drawing>
          <wp:inline>
            <wp:extent cx="5504749" cy="6880936"/>
            <wp:effectExtent b="0" l="0" r="0" t="0"/>
            <wp:docPr descr="Figure 29:  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 title="" id="1" name="Picture"/>
            <a:graphic>
              <a:graphicData uri="http://schemas.openxmlformats.org/drawingml/2006/picture">
                <pic:pic>
                  <pic:nvPicPr>
                    <pic:cNvPr descr="R-outputs_UBC-forWater-MSc_HMc/figures/Ch4_StageNorm_DOC-NOM.png" id="0" name="Picture"/>
                    <pic:cNvPicPr>
                      <a:picLocks noChangeArrowheads="1" noChangeAspect="1"/>
                    </pic:cNvPicPr>
                  </pic:nvPicPr>
                  <pic:blipFill>
                    <a:blip r:embed="rId114"/>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t xml:space="preserve">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w:t>
      </w:r>
    </w:p>
    <w:p>
      <w:pPr>
        <w:pStyle w:val="BodyText"/>
      </w:pPr>
      <w:r>
        <w:br/>
      </w:r>
    </w:p>
    <w:p>
      <w:pPr>
        <w:pStyle w:val="Heading4"/>
      </w:pPr>
      <w:bookmarkStart w:id="115" w:name="Xc912ebbb21e26bf11bbd35330a428a0b93c51e2"/>
      <w:r>
        <w:t xml:space="preserve">Hysteresis of NOM with predictor variables</w:t>
      </w:r>
      <w:bookmarkEnd w:id="115"/>
    </w:p>
    <w:p>
      <w:pPr>
        <w:pStyle w:val="FirstParagraph"/>
      </w:pPr>
      <w:r>
        <w:t xml:space="preserve">Events 10 and 11 were relatively well represented by sampling and were found to be representative of other rain events as well. Wilcoxon tests showed events 10 and 11 were not statistically different from the other sampling events, with the same mean rain amounts (p = 0.732), durations (p = 0.837), and intensity (p = 0.549).</w:t>
      </w:r>
    </w:p>
    <w:p>
      <w:pPr>
        <w:pStyle w:val="BodyText"/>
      </w:pPr>
      <w:r>
        <w:t xml:space="preserve"> </w:t>
      </w:r>
    </w:p>
    <w:p>
      <w:pPr>
        <w:pStyle w:val="CaptionedFigure"/>
      </w:pPr>
      <w:r>
        <w:drawing>
          <wp:inline>
            <wp:extent cx="5504749" cy="5963478"/>
            <wp:effectExtent b="0" l="0" r="0" t="0"/>
            <wp:docPr descr="Figure 30:  Stage and sample collection points six Leech watershed monitoring sites during rain events 10 and 11 (fall 2019). Vertical yellow lines indicate the start of each rain event. Results of samples in each event were compared to antecedent 30-day rain to assess hysteretic behaviour."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16"/>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t xml:space="preserve">Stage and sample collection points six Leech watershed monitoring sites during rain events 10 and 11 (fall 2019). Vertical yellow lines indicate the start of each rain event. Results of samples in each event were compared to antecedent 30-day rain to assess hysteretic behaviour.</w:t>
      </w:r>
    </w:p>
    <w:p>
      <w:pPr>
        <w:pStyle w:val="BodyText"/>
      </w:pPr>
      <w:r>
        <w:t xml:space="preserve"> </w:t>
      </w:r>
    </w:p>
    <w:p>
      <w:pPr>
        <w:pStyle w:val="CaptionedFigure"/>
      </w:pPr>
      <w:r>
        <w:drawing>
          <wp:inline>
            <wp:extent cx="5504749" cy="5504749"/>
            <wp:effectExtent b="0" l="0" r="0" t="0"/>
            <wp:docPr descr="Figure 31: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1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Heading3"/>
      </w:pPr>
      <w:bookmarkStart w:id="118" w:name="discussion"/>
      <w:r>
        <w:t xml:space="preserve">Discussion</w:t>
      </w:r>
      <w:bookmarkEnd w:id="118"/>
    </w:p>
    <w:p>
      <w:pPr>
        <w:pStyle w:val="FirstParagraph"/>
      </w:pPr>
      <w:r>
        <w:t xml:space="preserve">DOC concentrations were highest early in the wet season with peak concentrations found in the first event-based samples, while aromaticity of NOM peaked in later events. For smaller and less aromatic NOM, peak rain events were third in the wet season while larger more aromatic NOM peaked in the final events of the sampled wet seasons. These results indicate that early wet-season rain events export DOC-rich, aliphatic NOM from sources that are likely autochthonous and quickly depleted. Later wet-season rain events transport larger, more aromatic NOM from source pools that are likely allochthonous humic material whose export relies on greater landscape saturation and hydrologic connectivity. While DOC decreased across the wet season, the highest DOC sample was found at the highest sampled stage approximately 80% of the time.</w:t>
      </w:r>
    </w:p>
    <w:p>
      <w:pPr>
        <w:pStyle w:val="BodyText"/>
      </w:pPr>
      <w:r>
        <w:t xml:space="preserve"> </w:t>
      </w:r>
    </w:p>
    <w:p>
      <w:pPr>
        <w:pStyle w:val="BodyText"/>
      </w:pPr>
      <w:r>
        <w:t xml:space="preserve">Indeed, Random Forest variable importance measure showed that weather conditions, especially antecedent wetness, ranked among the most important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Antecedent wetness is an important watershed driver for NOM export as it influences the availability of source material and impacts hydrologic connectivity, or flow paths</w:t>
      </w:r>
      <w:r>
        <w:t xml:space="preserve"> </w:t>
      </w:r>
      <w:r>
        <w:t xml:space="preserve">(McMillan et al.</w:t>
      </w:r>
      <w:r>
        <w:t xml:space="preserve"> </w:t>
      </w:r>
      <w:hyperlink w:anchor="ref-McMillan2018">
        <w:r>
          <w:rPr>
            <w:rStyle w:val="Hyperlink"/>
          </w:rPr>
          <w:t xml:space="preserve">2018</w:t>
        </w:r>
      </w:hyperlink>
      <w:r>
        <w:t xml:space="preserve">)</w:t>
      </w:r>
      <w:r>
        <w:t xml:space="preserve">. Aromaticity of NOM increased with antecedent wetness and sampling stage up to a threshold level for each (approximately 75% of maximum stage and about 150 mm of 30-day antecedent rain). The apparent thresholds of sampling stage and antecedent wetness as drivers for NOM character suggest a point at which humic NOM sources either reach maximum connectivity with the streams, or that the aromatic source pools are depleted.</w:t>
      </w:r>
    </w:p>
    <w:p>
      <w:pPr>
        <w:pStyle w:val="BodyText"/>
      </w:pPr>
      <w:r>
        <w:t xml:space="preserve"> </w:t>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w:t>
      </w:r>
    </w:p>
    <w:p>
      <w:pPr>
        <w:pStyle w:val="BodyText"/>
      </w:pPr>
      <w:r>
        <w:t xml:space="preserve">  the magnitude and direction of water quality changes in response to precipitation,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rising limb Rack samples showed that DOC increased with increasing stage and peak DOC coincided with peak sampling stage approximately 80% of the time.</w:t>
      </w:r>
    </w:p>
    <w:p>
      <w:pPr>
        <w:pStyle w:val="BodyText"/>
      </w:pPr>
      <w:r>
        <w:t xml:space="preserve"> </w:t>
      </w:r>
    </w:p>
    <w:p>
      <w:pPr>
        <w:pStyle w:val="BodyText"/>
      </w:pPr>
      <w:r>
        <w:t xml:space="preserve">although sampling stage was directly related to rain conditions, in that more rain generated greater stream rise, rain was relatively more important as a predictor for DOC concentration than sampling stage was… this indicates that it may not have been the stage at which samples were collected, but rather at the antecedent wetness conditions (if you consider rain a proxy for wetness, which seems reasonable).</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rPr>
          <w:rStyle w:val="VerbatimChar"/>
        </w:rPr>
        <w:t xml:space="preserve">gooder here:</w:t>
      </w:r>
      <w:r>
        <w:t xml:space="preserve"> </w:t>
      </w:r>
      <w:r>
        <w:t xml:space="preserve">Despite sub-basin DOC decreasing with increasing metamorphic representation, the absence of wark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As the percent of wark gneiss was correlated to other parent materials, what is observed as an inverse relationship between DOC and amount of wark gneiss could indicate another relationship, potentailly of increasing DOC with the decrease of some other parent materials. Based on values presented in Table</w:t>
      </w:r>
      <w:r>
        <w:t xml:space="preserve"> </w:t>
      </w:r>
      <w:r>
        <w:t xml:space="preserve">14</w:t>
      </w:r>
      <w:r>
        <w:t xml:space="preserve"> </w:t>
      </w:r>
      <w:r>
        <w:t xml:space="preserve">it could be a relationship with the Leech River formation (argillite metagreywacke and metagreywacke) which was inversely correlated (-0.92) to</w:t>
      </w:r>
      <w:r>
        <w:br/>
      </w:r>
      <w:r>
        <w:t xml:space="preserve">wark gneiss coverage.</w:t>
      </w:r>
    </w:p>
    <w:p>
      <w:pPr>
        <w:pStyle w:val="BodyText"/>
      </w:pPr>
      <w:r>
        <w:t xml:space="preserve"> </w:t>
      </w:r>
    </w:p>
    <w:p>
      <w:pPr>
        <w:pStyle w:val="BodyText"/>
      </w:pPr>
      <w:r>
        <w:rPr>
          <w:i/>
          <w:b/>
        </w:rPr>
        <w:t xml:space="preserve">Future directions:</w:t>
      </w:r>
    </w:p>
    <w:p>
      <w:pPr>
        <w:pStyle w:val="BodyText"/>
      </w:pPr>
      <w:r>
        <w:t xml:space="preserve"> </w:t>
      </w:r>
    </w:p>
    <w:p>
      <w:pPr>
        <w:pStyle w:val="BodyText"/>
      </w:pPr>
      <w:r>
        <w:t xml:space="preserve">With additional Fire-weather data, it would be interesting to explore whether the variables for fire risk (humidity) were also predictors for increased NOM or DOC.</w:t>
      </w:r>
    </w:p>
    <w:p>
      <w:pPr>
        <w:pStyle w:val="BodyText"/>
      </w:pPr>
      <w:r>
        <w:t xml:space="preserve"> </w:t>
      </w:r>
    </w:p>
    <w:p>
      <w:pPr>
        <w:pStyle w:val="Compact"/>
        <w:numPr>
          <w:numId w:val="1004"/>
          <w:ilvl w:val="0"/>
        </w:numPr>
      </w:pPr>
      <w:r>
        <w:t xml:space="preserve">matched sample filling-stage with continuous logger stage could be combined with rating curve to determine mass transport or loading…</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Heading3"/>
      </w:pPr>
      <w:bookmarkStart w:id="119" w:name="conclusions"/>
      <w:r>
        <w:t xml:space="preserve">Conclusions</w:t>
      </w:r>
      <w:bookmarkEnd w:id="119"/>
    </w:p>
    <w:p>
      <w:pPr>
        <w:pStyle w:val="Compact"/>
        <w:numPr>
          <w:numId w:val="1005"/>
          <w:ilvl w:val="0"/>
        </w:numPr>
      </w:pPr>
      <w:r>
        <w:t xml:space="preserve">establishing connectivity among nested catchments as a baseline for experimental treatments (future)</w:t>
      </w:r>
    </w:p>
    <w:p>
      <w:pPr>
        <w:pStyle w:val="Heading2"/>
      </w:pPr>
      <w:bookmarkStart w:id="120" w:name="summary-conclusions"/>
      <w:r>
        <w:t xml:space="preserve">Summary &amp; Conclusions</w:t>
      </w:r>
      <w:bookmarkEnd w:id="120"/>
    </w:p>
    <w:p>
      <w:pPr>
        <w:pStyle w:val="Heading3"/>
      </w:pPr>
      <w:bookmarkStart w:id="121" w:name="X8db5f38833cbb48dc6afb8e20d30ffa86edd60c"/>
      <w:r>
        <w:t xml:space="preserve">Discussion of results in context of drinking water supply</w:t>
      </w:r>
      <w:bookmarkEnd w:id="121"/>
    </w:p>
    <w:p>
      <w:pPr>
        <w:pStyle w:val="FirstParagraph"/>
      </w:pPr>
      <w:r>
        <w:t xml:space="preserve">What are the implications for watershed management and future drinking water supply?</w:t>
      </w:r>
    </w:p>
    <w:p>
      <w:pPr>
        <w:pStyle w:val="BodyText"/>
      </w:pPr>
      <w:r>
        <w:t xml:space="preserve">Provide context of how results can be used to inform watershed management planning for wildfire reduction strategies and design of continued water quality monitoring for future inter-basin transfers.</w:t>
      </w:r>
    </w:p>
    <w:p>
      <w:pPr>
        <w:pStyle w:val="Compact"/>
        <w:numPr>
          <w:numId w:val="1006"/>
          <w:ilvl w:val="0"/>
        </w:numPr>
      </w:pPr>
      <w:r>
        <w:t xml:space="preserve">conflicting objectives and competing values (Peter Duinker’s work)</w:t>
      </w:r>
    </w:p>
    <w:p>
      <w:pPr>
        <w:pStyle w:val="Compact"/>
        <w:numPr>
          <w:numId w:val="1007"/>
          <w:ilvl w:val="1"/>
        </w:numPr>
      </w:pPr>
      <w:r>
        <w:t xml:space="preserve">managing temperate forests for timber removes carbon pools, managing for protection may increase the carbon, thus protection does not necessarily improve water quality.</w:t>
      </w:r>
    </w:p>
    <w:p>
      <w:pPr>
        <w:pStyle w:val="Compact"/>
        <w:numPr>
          <w:numId w:val="1007"/>
          <w:ilvl w:val="1"/>
        </w:numPr>
      </w:pPr>
      <w:r>
        <w:t xml:space="preserve">timber / carbon sequestration / water / biodiversity</w:t>
      </w:r>
    </w:p>
    <w:p>
      <w:pPr>
        <w:pStyle w:val="Compact"/>
        <w:numPr>
          <w:numId w:val="1006"/>
          <w:ilvl w:val="0"/>
        </w:numPr>
      </w:pPr>
      <w:r>
        <w:t xml:space="preserve">source water quality in rivers is unlikely to reflect the water at the intake tower</w:t>
      </w:r>
    </w:p>
    <w:p>
      <w:pPr>
        <w:pStyle w:val="Compact"/>
        <w:numPr>
          <w:numId w:val="1008"/>
          <w:ilvl w:val="1"/>
        </w:numPr>
      </w:pPr>
      <w:r>
        <w:t xml:space="preserve">reservoir residence times</w:t>
      </w:r>
    </w:p>
    <w:p>
      <w:pPr>
        <w:pStyle w:val="Compact"/>
        <w:numPr>
          <w:numId w:val="1008"/>
          <w:ilvl w:val="1"/>
        </w:numPr>
      </w:pPr>
      <w:r>
        <w:t xml:space="preserve">photodegradation</w:t>
      </w:r>
    </w:p>
    <w:p>
      <w:pPr>
        <w:pStyle w:val="Compact"/>
        <w:numPr>
          <w:numId w:val="1008"/>
          <w:ilvl w:val="1"/>
        </w:numPr>
      </w:pPr>
      <w:r>
        <w:t xml:space="preserve">physiochemcial reactions and changes</w:t>
      </w:r>
    </w:p>
    <w:p>
      <w:pPr>
        <w:pStyle w:val="Compact"/>
        <w:numPr>
          <w:numId w:val="1008"/>
          <w:ilvl w:val="1"/>
        </w:numPr>
      </w:pPr>
      <w:r>
        <w:t xml:space="preserve">biodegradation // transformation // bioproduction of NOM</w:t>
      </w:r>
    </w:p>
    <w:p>
      <w:pPr>
        <w:pStyle w:val="Compact"/>
        <w:numPr>
          <w:numId w:val="1008"/>
          <w:ilvl w:val="1"/>
        </w:numPr>
      </w:pPr>
      <w:r>
        <w:t xml:space="preserve">the rivers introduce new material and new conditions (e.g. different temperatures, dissolved oxygen, carbonate for buffering or organic acids altering pH, new microbiota) the</w:t>
      </w:r>
    </w:p>
    <w:p>
      <w:pPr>
        <w:pStyle w:val="Compact"/>
        <w:numPr>
          <w:numId w:val="1008"/>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08"/>
          <w:ilvl w:val="1"/>
        </w:numPr>
      </w:pPr>
      <w:r>
        <w:t xml:space="preserve">UV degradation is likely in lakes</w:t>
      </w:r>
    </w:p>
    <w:p>
      <w:pPr>
        <w:pStyle w:val="Compact"/>
        <w:numPr>
          <w:numId w:val="1008"/>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3"/>
      </w:pPr>
      <w:bookmarkStart w:id="122" w:name="concluding-remarks"/>
      <w:r>
        <w:t xml:space="preserve">Concluding remarks</w:t>
      </w:r>
      <w:bookmarkEnd w:id="122"/>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09"/>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0"/>
          <w:ilvl w:val="0"/>
        </w:numPr>
      </w:pPr>
      <w:r>
        <w:t xml:space="preserve">Across the LWSA, was the variance in DOC greater within each site or among all sites?</w:t>
      </w:r>
    </w:p>
    <w:p>
      <w:pPr>
        <w:numPr>
          <w:numId w:val="1010"/>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23" w:name="references"/>
      <w:r>
        <w:t xml:space="preserve">References</w:t>
      </w:r>
      <w:bookmarkEnd w:id="123"/>
    </w:p>
    <w:p>
      <w:pPr>
        <w:pStyle w:val="Heading1"/>
      </w:pPr>
      <w:bookmarkStart w:id="124" w:name="appendices"/>
      <w:r>
        <w:t xml:space="preserve">Appendices</w:t>
      </w:r>
      <w:bookmarkEnd w:id="124"/>
    </w:p>
    <w:p>
      <w:pPr>
        <w:pStyle w:val="FirstParagraph"/>
      </w:pPr>
      <w:r>
        <w:t xml:space="preserve">##Technology summary</w:t>
      </w:r>
      <w:r>
        <w:t xml:space="preserve"> </w:t>
      </w:r>
      <w:r>
        <w:t xml:space="preserve">####### Technology summary</w:t>
      </w:r>
    </w:p>
    <w:p>
      <w:pPr>
        <w:pStyle w:val="BodyText"/>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25" w:name="example-calculations"/>
      <w:r>
        <w:t xml:space="preserve">Example calculations</w:t>
      </w:r>
      <w:bookmarkEnd w:id="125"/>
    </w:p>
    <w:p>
      <w:pPr>
        <w:pStyle w:val="FirstParagraph"/>
      </w:pPr>
      <w:r>
        <w:t xml:space="preserve">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w:t>
      </w:r>
      <w:r>
        <w:t xml:space="preserve"> </w:t>
      </w:r>
      <w:r>
        <w:t xml:space="preserve">“</w:t>
      </w:r>
      <w:r>
        <w:t xml:space="preserve">staff gauge</w:t>
      </w:r>
      <w:r>
        <w:t xml:space="preserve">”</w:t>
      </w:r>
      <w:r>
        <w:t xml:space="preserve"> </w:t>
      </w:r>
      <w:r>
        <w:t xml:space="preserve">(measuring tape on the stilling well) datum.</w:t>
      </w:r>
    </w:p>
    <w:p>
      <w:pPr>
        <w:pStyle w:val="BodyText"/>
      </w:pPr>
      <w:r>
        <w:t xml:space="preserve">Equation 1:</w:t>
      </w:r>
    </w:p>
    <w:p>
      <w:pPr>
        <w:pStyle w:val="BodyText"/>
      </w:pPr>
      <m:oMathPara>
        <m:oMathParaPr>
          <m:jc m:val="center"/>
        </m:oMathParaPr>
        <m:oMath>
          <m:r>
            <m:t>n</m:t>
          </m:r>
          <m:r>
            <m:t>o</m:t>
          </m:r>
          <m:r>
            <m:t>r</m:t>
          </m:r>
          <m:r>
            <m:t>m</m:t>
          </m:r>
          <m:r>
            <m:t>a</m:t>
          </m:r>
          <m:r>
            <m:t>l</m:t>
          </m:r>
          <m:r>
            <m:t>i</m:t>
          </m:r>
          <m:r>
            <m:t>z</m:t>
          </m:r>
          <m:r>
            <m:t>e</m:t>
          </m:r>
          <m:r>
            <m:t>d</m:t>
          </m:r>
          <m:r>
            <m:t> </m:t>
          </m:r>
          <m:sSub>
            <m:e>
              <m:r>
                <m:t>X</m:t>
              </m:r>
            </m:e>
            <m:sub>
              <m:r>
                <m:t>i</m:t>
              </m:r>
            </m:sub>
          </m:sSub>
          <m:r>
            <m:t>=</m:t>
          </m:r>
          <m:f>
            <m:fPr>
              <m:type m:val="bar"/>
            </m:fPr>
            <m:num>
              <m:r>
                <m:t>(</m:t>
              </m:r>
              <m:sSub>
                <m:e>
                  <m:r>
                    <m:t>X</m:t>
                  </m:r>
                </m:e>
                <m:sub>
                  <m:r>
                    <m:t>i</m:t>
                  </m:r>
                </m:sub>
              </m:sSub>
              <m:r>
                <m:t>−</m:t>
              </m:r>
              <m:sSub>
                <m:e>
                  <m:r>
                    <m:t>X</m:t>
                  </m:r>
                </m:e>
                <m:sub>
                  <m:r>
                    <m:t>m</m:t>
                  </m:r>
                  <m:r>
                    <m:t>i</m:t>
                  </m:r>
                  <m:r>
                    <m:t>n</m:t>
                  </m:r>
                </m:sub>
              </m:sSub>
              <m:r>
                <m:t>)</m:t>
              </m:r>
            </m:num>
            <m:den>
              <m:r>
                <m:t>(</m:t>
              </m:r>
              <m:sSub>
                <m:e>
                  <m:r>
                    <m:t>X</m:t>
                  </m:r>
                </m:e>
                <m:sub>
                  <m:r>
                    <m:t>m</m:t>
                  </m:r>
                  <m:r>
                    <m:t>a</m:t>
                  </m:r>
                  <m:r>
                    <m:t>x</m:t>
                  </m:r>
                </m:sub>
              </m:sSub>
              <m:r>
                <m:t>−</m:t>
              </m:r>
              <m:sSub>
                <m:e>
                  <m:r>
                    <m:t>X</m:t>
                  </m:r>
                </m:e>
                <m:sub>
                  <m:r>
                    <m:t>m</m:t>
                  </m:r>
                  <m:r>
                    <m:t>i</m:t>
                  </m:r>
                  <m:r>
                    <m:t>n</m:t>
                  </m:r>
                </m:sub>
              </m:sSub>
              <m:r>
                <m:t>)</m:t>
              </m:r>
            </m:den>
          </m:f>
        </m:oMath>
      </m:oMathPara>
    </w:p>
    <w:p>
      <w:pPr>
        <w:pStyle w:val="Heading2"/>
      </w:pPr>
      <w:bookmarkStart w:id="126" w:name="forwater-crd"/>
      <w:r>
        <w:t xml:space="preserve">forWater CRD</w:t>
      </w:r>
      <w:bookmarkEnd w:id="126"/>
    </w:p>
    <w:p>
      <w:pPr>
        <w:pStyle w:val="Heading7"/>
      </w:pPr>
      <w:bookmarkStart w:id="127" w:name="Xe94dc613e79104e648a7e62ba8d389c33fd5369"/>
      <w:r>
        <w:t xml:space="preserve">NSERC forWater Network &amp; the Capital Regional District</w:t>
      </w:r>
      <w:bookmarkEnd w:id="127"/>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r>
        <w:t xml:space="preserve"> </w:t>
      </w:r>
      <w:r>
        <w:t xml:space="preserve">## GVWSA</w:t>
      </w:r>
      <w:r>
        <w:t xml:space="preserve"> </w:t>
      </w:r>
      <w:r>
        <w:t xml:space="preserve">######## Greater Victoria Regional Water Supply System, CRD</w:t>
      </w:r>
    </w:p>
    <w:p>
      <w:pPr>
        <w:pStyle w:val="BodyText"/>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r>
        <w:t xml:space="preserve"> </w:t>
      </w:r>
      <w:r>
        <w:t xml:space="preserve">## LeechWSA details</w:t>
      </w:r>
      <w:r>
        <w:t xml:space="preserve"> </w:t>
      </w:r>
      <w:r>
        <w:t xml:space="preserve">######## Leech water supply area monitoring sites: details and observations</w:t>
      </w:r>
    </w:p>
    <w:p>
      <w:pPr>
        <w:pStyle w:val="BodyText"/>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28" w:name="weeks-creek-site-1"/>
      <w:r>
        <w:t xml:space="preserve">Weeks Creek (site 1)</w:t>
      </w:r>
      <w:bookmarkEnd w:id="128"/>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29" w:name="chris-creek-site-2"/>
      <w:r>
        <w:t xml:space="preserve">Chris Creek (site 2)</w:t>
      </w:r>
      <w:bookmarkEnd w:id="129"/>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30" w:name="leech-head-site-3"/>
      <w:r>
        <w:t xml:space="preserve">Leech Head (site 3)</w:t>
      </w:r>
      <w:bookmarkEnd w:id="130"/>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31" w:name="cragg-creek-site-4"/>
      <w:r>
        <w:t xml:space="preserve">Cragg Creek (site 4)</w:t>
      </w:r>
      <w:bookmarkEnd w:id="131"/>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32: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32"/>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33" w:name="west-leech-site-5"/>
      <w:r>
        <w:t xml:space="preserve">West Leech (site 5)</w:t>
      </w:r>
      <w:bookmarkEnd w:id="133"/>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34" w:name="leech-tunnel-site-6"/>
      <w:r>
        <w:t xml:space="preserve">Leech Tunnel (site 6)</w:t>
      </w:r>
      <w:bookmarkEnd w:id="134"/>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r>
        <w:t xml:space="preserve"> </w:t>
      </w:r>
      <w:r>
        <w:t xml:space="preserve">## Treatability</w:t>
      </w:r>
      <w:r>
        <w:t xml:space="preserve"> </w:t>
      </w:r>
      <w:r>
        <w:t xml:space="preserve">######## Treatability: forWater coordinated treatability analyses for disinfection by-product formation potentials (DBP-FP)</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1"/>
          <w:ilvl w:val="0"/>
        </w:numPr>
      </w:pPr>
      <w:r>
        <w:t xml:space="preserve">Leech River at the future point of diversion (near Leech Tunnel inlet)</w:t>
      </w:r>
    </w:p>
    <w:p>
      <w:pPr>
        <w:pStyle w:val="Compact"/>
        <w:numPr>
          <w:numId w:val="1011"/>
          <w:ilvl w:val="0"/>
        </w:numPr>
      </w:pPr>
      <w:r>
        <w:t xml:space="preserve">Deception Reservoir, downstream from Deception Gulch (outlet of Leech Tunnel)</w:t>
      </w:r>
    </w:p>
    <w:p>
      <w:pPr>
        <w:pStyle w:val="Compact"/>
        <w:numPr>
          <w:numId w:val="1011"/>
          <w:ilvl w:val="0"/>
        </w:numPr>
      </w:pPr>
      <w:r>
        <w:t xml:space="preserve">Rithet Creek (main tributary to Sooke Reservoir)</w:t>
      </w:r>
    </w:p>
    <w:p>
      <w:pPr>
        <w:pStyle w:val="Compact"/>
        <w:numPr>
          <w:numId w:val="1011"/>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r>
        <w:t xml:space="preserve"> </w:t>
      </w:r>
      <w:r>
        <w:t xml:space="preserve">### results</w:t>
      </w:r>
      <w:r>
        <w:t xml:space="preserve"> </w:t>
      </w:r>
      <w:r>
        <w:t xml:space="preserve">######### Results: Treatability &amp; DOC</w:t>
      </w:r>
    </w:p>
    <w:p>
      <w:pPr>
        <w:pStyle w:val="BodyText"/>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33</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33: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35"/>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2"/>
      </w:pPr>
      <w:bookmarkStart w:id="136" w:name="metals"/>
      <w:r>
        <w:t xml:space="preserve">Metals</w:t>
      </w:r>
      <w:bookmarkEnd w:id="136"/>
    </w:p>
    <w:p>
      <w:pPr>
        <w:pStyle w:val="Heading8"/>
      </w:pPr>
      <w:bookmarkStart w:id="137" w:name="X4b7b3e6ac6573f953e6980479d08b8ee7c28f75"/>
      <w:r>
        <w:t xml:space="preserve">Metals &amp; DOC: collaborative sampling for Metals on behalf of the CRD</w:t>
      </w:r>
      <w:bookmarkEnd w:id="137"/>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r>
        <w:t xml:space="preserve"> </w:t>
      </w:r>
      <w:r>
        <w:t xml:space="preserve">### and DOC</w:t>
      </w:r>
      <w:r>
        <w:t xml:space="preserve"> </w:t>
      </w:r>
      <w:r>
        <w:t xml:space="preserve">######### 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34</w:t>
      </w:r>
      <w:r>
        <w:t xml:space="preserve"> </w:t>
      </w:r>
      <w:r>
        <w:t xml:space="preserve">shows DOC with total metals in μg/L, and Figure</w:t>
      </w:r>
      <w:r>
        <w:t xml:space="preserve"> </w:t>
      </w:r>
      <w:r>
        <w:t xml:space="preserve">35</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4: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38"/>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35: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3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35:</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19</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19:</w:t>
      </w:r>
      <w:r>
        <w:t xml:space="preserve"> </w:t>
      </w:r>
      <w:r>
        <w:rPr>
          <w:i/>
        </w:rPr>
        <w:t xml:space="preserve">Relationships between total metals with dissolved organic carbon</w:t>
      </w:r>
    </w:p>
    <w:tbl>
      <w:tblPr>
        <w:tblStyle w:val="Table"/>
        <w:tblW w:type="pct" w:w="0.0"/>
        <w:tblLook w:firstRow="1"/>
        <w:tblCaption w:val="Table 19: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r>
        <w:t xml:space="preserve"> </w:t>
      </w:r>
      <w:r>
        <w:t xml:space="preserve">## FWx</w:t>
      </w:r>
      <w:r>
        <w:t xml:space="preserve"> </w:t>
      </w:r>
      <w:r>
        <w:t xml:space="preserve">######## FWx stations in the LWSA: ancilary data</w:t>
      </w:r>
    </w:p>
    <w:p>
      <w:pPr>
        <w:pStyle w:val="BodyText"/>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36</w:t>
      </w:r>
      <w:r>
        <w:t xml:space="preserve">, Table</w:t>
      </w:r>
      <w:r>
        <w:t xml:space="preserve"> </w:t>
      </w:r>
      <w:r>
        <w:t xml:space="preserve">20</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6: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4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36:</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20: Annual weather from CRD FWx stations in the Leech water supply area*</w:t>
      </w:r>
    </w:p>
    <w:tbl>
      <w:tblPr>
        <w:tblStyle w:val="Table"/>
        <w:tblW w:type="pct" w:w="5000.0"/>
        <w:tblLook w:firstRow="1"/>
        <w:tblCaption w:val="Table 20: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r>
        <w:t xml:space="preserve"> </w:t>
      </w:r>
      <w:r>
        <w:t xml:space="preserve">## Linear Wx regress</w:t>
      </w:r>
      <w:r>
        <w:t xml:space="preserve"> </w:t>
      </w:r>
      <w:r>
        <w:t xml:space="preserve">####### Linear regression for air temperatures at vertical racks</w:t>
      </w:r>
    </w:p>
    <w:p>
      <w:pPr>
        <w:pStyle w:val="BodyText"/>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37</w:t>
      </w:r>
      <w:r>
        <w:t xml:space="preserve">).</w:t>
      </w:r>
    </w:p>
    <w:p>
      <w:pPr>
        <w:pStyle w:val="BodyText"/>
      </w:pPr>
      <w:r>
        <w:t xml:space="preserve"> </w:t>
      </w:r>
    </w:p>
    <w:p>
      <w:pPr>
        <w:pStyle w:val="CaptionedFigure"/>
      </w:pPr>
      <w:r>
        <w:drawing>
          <wp:inline>
            <wp:extent cx="5504749" cy="5504749"/>
            <wp:effectExtent b="0" l="0" r="0" t="0"/>
            <wp:docPr descr="Figure 37: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4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38</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8: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42"/>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Temperatures recorded in air and water on vertical racks at each research site.</w:t>
      </w:r>
    </w:p>
    <w:p>
      <w:pPr>
        <w:pStyle w:val="BodyText"/>
      </w:pPr>
      <w:r>
        <w:t xml:space="preserve"> </w:t>
      </w:r>
      <w:r>
        <w:t xml:space="preserve"> </w:t>
      </w:r>
      <w:r>
        <w:t xml:space="preserve">## linear regress</w:t>
      </w:r>
      <w:r>
        <w:t xml:space="preserve"> </w:t>
      </w:r>
      <w:r>
        <w:t xml:space="preserve">######## Linear regression: air temperature estimation</w:t>
      </w:r>
    </w:p>
    <w:p>
      <w:pPr>
        <w:pStyle w:val="BodyText"/>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39</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9: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4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21</w:t>
      </w:r>
      <w:r>
        <w:t xml:space="preserve">) with no statistical difference (at 90% confidence) for Cragg Crk, West Leech and the Tunnel (sites 4, 5, 6).</w:t>
      </w:r>
    </w:p>
    <w:p>
      <w:pPr>
        <w:pStyle w:val="BodyText"/>
      </w:pPr>
      <w:r>
        <w:t xml:space="preserve"> </w:t>
      </w:r>
    </w:p>
    <w:p>
      <w:pPr>
        <w:pStyle w:val="TableCaption"/>
      </w:pPr>
      <w:r>
        <w:t xml:space="preserve">Table 21:</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1: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40</w:t>
      </w:r>
      <w:r>
        <w:t xml:space="preserve">). Table</w:t>
      </w:r>
      <w:r>
        <w:t xml:space="preserve"> </w:t>
      </w:r>
      <w:r>
        <w:t xml:space="preserve">22</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22:</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2: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40: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4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40:</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7"/>
      </w:pPr>
      <w:bookmarkStart w:id="145" w:name="antecedent-30-day-rain-and-stream-stage"/>
      <w:r>
        <w:t xml:space="preserve">Antecedent 30-day rain and stream stage</w:t>
      </w:r>
      <w:bookmarkEnd w:id="145"/>
    </w:p>
    <w:p>
      <w:pPr>
        <w:pStyle w:val="FirstParagraph"/>
      </w:pPr>
      <w:r>
        <w:t xml:space="preserve">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w:t>
      </w:r>
      <w:r>
        <w:t xml:space="preserve"> </w:t>
      </w:r>
      <w:r>
        <w:t xml:space="preserve">41</w:t>
      </w:r>
      <w:r>
        <w:t xml:space="preserve">).</w:t>
      </w:r>
    </w:p>
    <w:p>
      <w:pPr>
        <w:pStyle w:val="BodyText"/>
      </w:pPr>
      <w:r>
        <w:t xml:space="preserve"> </w:t>
      </w:r>
    </w:p>
    <w:p>
      <w:pPr>
        <w:pStyle w:val="CaptionedFigure"/>
      </w:pPr>
      <w:r>
        <w:drawing>
          <wp:inline>
            <wp:extent cx="3669832" cy="3669832"/>
            <wp:effectExtent b="0" l="0" r="0" t="0"/>
            <wp:docPr descr="Figure 41: TRUE" title="" id="1" name="Picture"/>
            <a:graphic>
              <a:graphicData uri="http://schemas.openxmlformats.org/drawingml/2006/picture">
                <pic:pic>
                  <pic:nvPicPr>
                    <pic:cNvPr descr="R-outputs_UBC-forWater-MSc_HMc/figures/Ch4-A_RF_ant.rain-norm.stage.png" id="0" name="Picture"/>
                    <pic:cNvPicPr>
                      <a:picLocks noChangeArrowheads="1" noChangeAspect="1"/>
                    </pic:cNvPicPr>
                  </pic:nvPicPr>
                  <pic:blipFill>
                    <a:blip r:embed="rId14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41: TRUE</w:t>
      </w:r>
    </w:p>
    <w:p>
      <w:pPr>
        <w:pStyle w:val="BodyText"/>
      </w:pPr>
      <w:r>
        <w:t xml:space="preserve"> </w:t>
      </w:r>
    </w:p>
    <w:p>
      <w:pPr>
        <w:pStyle w:val="Heading2"/>
      </w:pPr>
      <w:bookmarkStart w:id="147" w:name="extended-ch2-results"/>
      <w:r>
        <w:t xml:space="preserve">extended ch2 results</w:t>
      </w:r>
      <w:bookmarkEnd w:id="147"/>
    </w:p>
    <w:p>
      <w:pPr>
        <w:pStyle w:val="Heading7"/>
      </w:pPr>
      <w:bookmarkStart w:id="148" w:name="results-extended"/>
      <w:r>
        <w:t xml:space="preserve">Results extended</w:t>
      </w:r>
      <w:bookmarkEnd w:id="148"/>
    </w:p>
    <w:p>
      <w:pPr>
        <w:pStyle w:val="Heading8"/>
      </w:pPr>
      <w:bookmarkStart w:id="149" w:name="X91fa14e256c50d3b56fbacfc8ea86d69f0ab7ce"/>
      <w:r>
        <w:t xml:space="preserve">NOM sampling in nested catchments (from Ch.2)</w:t>
      </w:r>
      <w:bookmarkEnd w:id="149"/>
    </w:p>
    <w:p>
      <w:pPr>
        <w:pStyle w:val="FirstParagraph"/>
      </w:pPr>
      <w:r>
        <w:t xml:space="preserve">Below the confluences of headwaters sites (Figure</w:t>
      </w:r>
      <w:r>
        <w:t xml:space="preserve"> </w:t>
      </w:r>
      <w:r>
        <w:t xml:space="preserve">42</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42</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CaptionedFigure"/>
      </w:pPr>
      <w:r>
        <w:drawing>
          <wp:inline>
            <wp:extent cx="5504749" cy="5504749"/>
            <wp:effectExtent b="0" l="0" r="0" t="0"/>
            <wp:docPr descr="Figure 42: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5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42:</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43</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43: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5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43:</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r>
        <w:t xml:space="preserve"> </w:t>
      </w:r>
      <w:r>
        <w:t xml:space="preserve">## possible trash</w:t>
      </w:r>
      <w:r>
        <w:t xml:space="preserve"> </w:t>
      </w:r>
      <w:r>
        <w:t xml:space="preserve">####### possible trash</w:t>
      </w:r>
    </w:p>
    <w:p>
      <w:pPr>
        <w:pStyle w:val="Heading3"/>
      </w:pPr>
      <w:bookmarkStart w:id="152" w:name="sampling-methods"/>
      <w:r>
        <w:t xml:space="preserve">sampling methods</w:t>
      </w:r>
      <w:bookmarkEnd w:id="152"/>
    </w:p>
    <w:p>
      <w:pPr>
        <w:pStyle w:val="Heading7"/>
      </w:pPr>
      <w:bookmarkStart w:id="153" w:name="sampling-methods-extended"/>
      <w:r>
        <w:t xml:space="preserve">Sampling methods extended</w:t>
      </w:r>
      <w:bookmarkEnd w:id="153"/>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r>
        <w:t xml:space="preserve"> </w:t>
      </w:r>
      <w:r>
        <w:t xml:space="preserve">### vertical racks</w:t>
      </w:r>
      <w:r>
        <w:t xml:space="preserve"> </w:t>
      </w:r>
      <w:r>
        <w:t xml:space="preserve">######## Vertical racks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r>
        <w:t xml:space="preserve"> </w:t>
      </w:r>
      <w:r>
        <w:t xml:space="preserve">## prototype</w:t>
      </w:r>
      <w:r>
        <w:t xml:space="preserve"> </w:t>
      </w:r>
      <w:r>
        <w:t xml:space="preserve">######## Prototype for falling limb passive sampling</w:t>
      </w:r>
    </w:p>
    <w:p>
      <w:pPr>
        <w:pStyle w:val="BodyText"/>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r>
        <w:t xml:space="preserve"> </w:t>
      </w:r>
      <w:r>
        <w:t xml:space="preserve">### field protocol</w:t>
      </w:r>
      <w:r>
        <w:t xml:space="preserve"> </w:t>
      </w:r>
      <w:r>
        <w:t xml:space="preserve">######## Field protocol</w:t>
      </w:r>
    </w:p>
    <w:p>
      <w:pPr>
        <w:pStyle w:val="BodyText"/>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r>
        <w:t xml:space="preserve"> </w:t>
      </w:r>
      <w:r>
        <w:t xml:space="preserve">### Malahat Wx</w:t>
      </w:r>
      <w:r>
        <w:t xml:space="preserve"> </w:t>
      </w:r>
      <w:r>
        <w:t xml:space="preserve">######## Malahat 5 year weather</w:t>
      </w:r>
    </w:p>
    <w:p>
      <w:pPr>
        <w:pStyle w:val="Compact"/>
        <w:numPr>
          <w:numId w:val="1012"/>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44</w:t>
      </w:r>
      <w:r>
        <w:t xml:space="preserve"> </w:t>
      </w:r>
      <w:r>
        <w:t xml:space="preserve">shows Malahat weather data, which are summarized in Table</w:t>
      </w:r>
      <w:r>
        <w:t xml:space="preserve"> </w:t>
      </w:r>
      <w:r>
        <w:t xml:space="preserve">23</w:t>
      </w:r>
      <w:r>
        <w:t xml:space="preserve">.</w:t>
      </w:r>
    </w:p>
    <w:p>
      <w:pPr>
        <w:pStyle w:val="CaptionedFigure"/>
      </w:pPr>
      <w:r>
        <w:drawing>
          <wp:inline>
            <wp:extent cx="5943600" cy="3668888"/>
            <wp:effectExtent b="0" l="0" r="0" t="0"/>
            <wp:docPr descr="Figure 44: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54"/>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44:</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23:</w:t>
      </w:r>
      <w:r>
        <w:t xml:space="preserve"> </w:t>
      </w:r>
      <w:r>
        <w:rPr>
          <w:i/>
        </w:rPr>
        <w:t xml:space="preserve">Annual weather data from Malahat station (MoTI ID 62091)</w:t>
      </w:r>
    </w:p>
    <w:tbl>
      <w:tblPr>
        <w:tblStyle w:val="Table"/>
        <w:tblW w:type="pct" w:w="0.0"/>
        <w:tblLook w:firstRow="1"/>
        <w:tblCaption w:val="Table 23: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45</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45: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55"/>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45:</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24:</w:t>
      </w:r>
      <w:r>
        <w:t xml:space="preserve"> </w:t>
      </w:r>
      <w:r>
        <w:rPr>
          <w:i/>
        </w:rPr>
        <w:t xml:space="preserve">Results of Wilcoxon test for Malahat weather data before and during the study period</w:t>
      </w:r>
    </w:p>
    <w:tbl>
      <w:tblPr>
        <w:tblStyle w:val="Table"/>
        <w:tblW w:type="pct" w:w="0.0"/>
        <w:tblLook w:firstRow="1"/>
        <w:tblCaption w:val="Table 24: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r>
        <w:t xml:space="preserve"> </w:t>
      </w:r>
      <w:r>
        <w:t xml:space="preserve">## spatial variance</w:t>
      </w:r>
      <w:r>
        <w:t xml:space="preserve"> </w:t>
      </w:r>
      <w:r>
        <w:t xml:space="preserve">######## Spatial variance in DOC concentrations</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25</w:t>
      </w:r>
      <w:r>
        <w:t xml:space="preserve">).</w:t>
      </w:r>
    </w:p>
    <w:p>
      <w:pPr>
        <w:pStyle w:val="BodyText"/>
      </w:pPr>
      <w:r>
        <w:t xml:space="preserve"> </w:t>
      </w:r>
    </w:p>
    <w:p>
      <w:pPr>
        <w:pStyle w:val="TableCaption"/>
      </w:pPr>
      <w:r>
        <w:t xml:space="preserve">Table 25:</w:t>
      </w:r>
      <w:r>
        <w:t xml:space="preserve"> </w:t>
      </w:r>
      <w:r>
        <w:rPr>
          <w:i/>
        </w:rPr>
        <w:t xml:space="preserve">Summary of DOC across the six LWSA research sites with each nested catchment classified by basin type.</w:t>
      </w:r>
    </w:p>
    <w:tbl>
      <w:tblPr>
        <w:tblStyle w:val="Table"/>
        <w:tblW w:type="pct" w:w="5000.0"/>
        <w:tblLook w:firstRow="1"/>
        <w:tblCaption w:val="Table 25: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56"/>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26</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26:</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6: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2"/>
      </w:pPr>
      <w:bookmarkStart w:id="157" w:name="e2e3-over-time-loess"/>
      <w:r>
        <w:t xml:space="preserve">E2E3 over time (loess)</w:t>
      </w:r>
      <w:bookmarkEnd w:id="157"/>
    </w:p>
    <w:p>
      <w:pPr>
        <w:pStyle w:val="Heading9"/>
      </w:pPr>
      <w:bookmarkStart w:id="158" w:name="e2e3-over-time"/>
      <w:r>
        <w:t xml:space="preserve">E2E3 over time</w:t>
      </w:r>
      <w:bookmarkEnd w:id="158"/>
    </w:p>
    <w:p>
      <w:pPr>
        <w:pStyle w:val="CaptionedFigure"/>
      </w:pPr>
      <w:r>
        <w:drawing>
          <wp:inline>
            <wp:extent cx="5504749" cy="3669832"/>
            <wp:effectExtent b="0" l="0" r="0" t="0"/>
            <wp:docPr descr="Figure 46: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5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46:</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304" w:name="refs"/>
    <w:bookmarkStart w:id="161"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60">
        <w:r>
          <w:rPr>
            <w:rStyle w:val="Hyperlink"/>
          </w:rPr>
          <w:t xml:space="preserve">https://doi.org/10.1111/ele.12897</w:t>
        </w:r>
      </w:hyperlink>
      <w:r>
        <w:t xml:space="preserve">.</w:t>
      </w:r>
    </w:p>
    <w:bookmarkEnd w:id="161"/>
    <w:bookmarkStart w:id="163" w:name="ref-Aguilera2018"/>
    <w:p>
      <w:pPr>
        <w:pStyle w:val="Bibliography"/>
      </w:pPr>
      <w:r>
        <w:t xml:space="preserve">Aguilera, Rosana, and John M. Melack. 2018. “Concentration-Discharge Responses to Storm Events in Coastal California Watersheds.”</w:t>
      </w:r>
      <w:r>
        <w:t xml:space="preserve"> </w:t>
      </w:r>
      <w:r>
        <w:rPr>
          <w:i/>
        </w:rPr>
        <w:t xml:space="preserve">Water Resources Research</w:t>
      </w:r>
      <w:r>
        <w:t xml:space="preserve"> </w:t>
      </w:r>
      <w:r>
        <w:t xml:space="preserve">54 (1): 407–24.</w:t>
      </w:r>
      <w:r>
        <w:t xml:space="preserve"> </w:t>
      </w:r>
      <w:hyperlink r:id="rId162">
        <w:r>
          <w:rPr>
            <w:rStyle w:val="Hyperlink"/>
          </w:rPr>
          <w:t xml:space="preserve">https://doi.org/10.1002/2017WR021578</w:t>
        </w:r>
      </w:hyperlink>
      <w:r>
        <w:t xml:space="preserve">.</w:t>
      </w:r>
    </w:p>
    <w:bookmarkEnd w:id="163"/>
    <w:bookmarkStart w:id="165"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64">
        <w:r>
          <w:rPr>
            <w:rStyle w:val="Hyperlink"/>
          </w:rPr>
          <w:t xml:space="preserve">https://doi.org/10.1002/j.1551-8833.1995.tb06299.x</w:t>
        </w:r>
      </w:hyperlink>
      <w:r>
        <w:t xml:space="preserve">.</w:t>
      </w:r>
    </w:p>
    <w:bookmarkEnd w:id="165"/>
    <w:bookmarkStart w:id="167"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66">
        <w:r>
          <w:rPr>
            <w:rStyle w:val="Hyperlink"/>
          </w:rPr>
          <w:t xml:space="preserve">https://doi.org/10.1021/es103992s</w:t>
        </w:r>
      </w:hyperlink>
      <w:r>
        <w:t xml:space="preserve">.</w:t>
      </w:r>
    </w:p>
    <w:bookmarkEnd w:id="167"/>
    <w:bookmarkStart w:id="169"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68">
        <w:r>
          <w:rPr>
            <w:rStyle w:val="Hyperlink"/>
          </w:rPr>
          <w:t xml:space="preserve">https://doi.org/10.1016/j.jhydrol.2014.05.060</w:t>
        </w:r>
      </w:hyperlink>
      <w:r>
        <w:t xml:space="preserve">.</w:t>
      </w:r>
    </w:p>
    <w:bookmarkEnd w:id="169"/>
    <w:bookmarkStart w:id="171"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70">
        <w:r>
          <w:rPr>
            <w:rStyle w:val="Hyperlink"/>
          </w:rPr>
          <w:t xml:space="preserve">https://doi.org/10.1029/2007JG000674</w:t>
        </w:r>
      </w:hyperlink>
      <w:r>
        <w:t xml:space="preserve">.</w:t>
      </w:r>
    </w:p>
    <w:bookmarkEnd w:id="171"/>
    <w:bookmarkStart w:id="173"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72">
        <w:r>
          <w:rPr>
            <w:rStyle w:val="Hyperlink"/>
          </w:rPr>
          <w:t xml:space="preserve">http://www.standardmethods.org/</w:t>
        </w:r>
      </w:hyperlink>
      <w:r>
        <w:t xml:space="preserve">.</w:t>
      </w:r>
    </w:p>
    <w:bookmarkEnd w:id="173"/>
    <w:bookmarkStart w:id="175"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74">
        <w:r>
          <w:rPr>
            <w:rStyle w:val="Hyperlink"/>
          </w:rPr>
          <w:t xml:space="preserve">https://doi.org/10.2105/SMWW.2882.113</w:t>
        </w:r>
      </w:hyperlink>
      <w:r>
        <w:t xml:space="preserve">.</w:t>
      </w:r>
    </w:p>
    <w:bookmarkEnd w:id="175"/>
    <w:bookmarkStart w:id="177"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76">
        <w:r>
          <w:rPr>
            <w:rStyle w:val="Hyperlink"/>
          </w:rPr>
          <w:t xml:space="preserve">https://doi.org/10.1007/s11749-016-0481-7</w:t>
        </w:r>
      </w:hyperlink>
      <w:r>
        <w:t xml:space="preserve">.</w:t>
      </w:r>
    </w:p>
    <w:bookmarkEnd w:id="177"/>
    <w:bookmarkStart w:id="179"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78">
        <w:r>
          <w:rPr>
            <w:rStyle w:val="Hyperlink"/>
          </w:rPr>
          <w:t xml:space="preserve">https://doi.org/10.1201/9780367816377-11</w:t>
        </w:r>
      </w:hyperlink>
      <w:r>
        <w:t xml:space="preserve">.</w:t>
      </w:r>
    </w:p>
    <w:bookmarkEnd w:id="179"/>
    <w:bookmarkStart w:id="181" w:name="ref-BC2019"/>
    <w:p>
      <w:pPr>
        <w:pStyle w:val="Bibliography"/>
      </w:pPr>
      <w:r>
        <w:t xml:space="preserve">British Columbia Ministry of Environment. 2017. “BC Source Drinking Water Quality Guidelines: Guideline Summary.” Victoria, B.C.: Prov. B.C.</w:t>
      </w:r>
      <w:r>
        <w:t xml:space="preserve"> </w:t>
      </w:r>
      <w:hyperlink r:id="rId180">
        <w:r>
          <w:rPr>
            <w:rStyle w:val="Hyperlink"/>
          </w:rPr>
          <w:t xml:space="preserve">https://www2.gov.bc.ca/gov/content/governments/organizational-structure/ministries-organizations/ministries/environment-climate-change</w:t>
        </w:r>
      </w:hyperlink>
      <w:r>
        <w:t xml:space="preserve">.</w:t>
      </w:r>
    </w:p>
    <w:bookmarkEnd w:id="181"/>
    <w:bookmarkStart w:id="182" w:name="ref-CCME2004"/>
    <w:p>
      <w:pPr>
        <w:pStyle w:val="Bibliography"/>
      </w:pPr>
      <w:r>
        <w:t xml:space="preserve">Canadian Council of Ministers of the Environment. 2004. “From source to tap : guidance on the multi-barrier approach to safe drinking water.”</w:t>
      </w:r>
    </w:p>
    <w:bookmarkEnd w:id="182"/>
    <w:bookmarkStart w:id="184" w:name="ref-SoilScience2020"/>
    <w:p>
      <w:pPr>
        <w:pStyle w:val="Bibliography"/>
      </w:pPr>
      <w:r>
        <w:t xml:space="preserve">Canadian Society of Soil Science. 2020. “Soils of Canada.”</w:t>
      </w:r>
      <w:r>
        <w:t xml:space="preserve"> </w:t>
      </w:r>
      <w:hyperlink r:id="rId183">
        <w:r>
          <w:rPr>
            <w:rStyle w:val="Hyperlink"/>
          </w:rPr>
          <w:t xml:space="preserve">https://soilsofcanada.ca</w:t>
        </w:r>
      </w:hyperlink>
      <w:r>
        <w:t xml:space="preserve">.</w:t>
      </w:r>
    </w:p>
    <w:bookmarkEnd w:id="184"/>
    <w:bookmarkStart w:id="186" w:name="ref-CRD"/>
    <w:p>
      <w:pPr>
        <w:pStyle w:val="Bibliography"/>
      </w:pPr>
      <w:r>
        <w:t xml:space="preserve">Capital Regional District. n.d. “Facts and Figures for the Greater Victoria Water Supply Area.” Accessed July 13, 2018.</w:t>
      </w:r>
      <w:r>
        <w:t xml:space="preserve"> </w:t>
      </w:r>
      <w:hyperlink r:id="rId185">
        <w:r>
          <w:rPr>
            <w:rStyle w:val="Hyperlink"/>
          </w:rPr>
          <w:t xml:space="preserve">https://www.crd.bc.ca/service/public-tours/watershed-tours/facts-figures</w:t>
        </w:r>
      </w:hyperlink>
      <w:r>
        <w:t xml:space="preserve">.</w:t>
      </w:r>
    </w:p>
    <w:bookmarkEnd w:id="186"/>
    <w:bookmarkStart w:id="187"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187"/>
    <w:bookmarkStart w:id="189"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88">
        <w:r>
          <w:rPr>
            <w:rStyle w:val="Hyperlink"/>
          </w:rPr>
          <w:t xml:space="preserve">https://doi.org/10.2166/aqua.2008.064</w:t>
        </w:r>
      </w:hyperlink>
      <w:r>
        <w:t xml:space="preserve">.</w:t>
      </w:r>
    </w:p>
    <w:bookmarkEnd w:id="189"/>
    <w:bookmarkStart w:id="191"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190">
        <w:r>
          <w:rPr>
            <w:rStyle w:val="Hyperlink"/>
          </w:rPr>
          <w:t xml:space="preserve">https://doi.org/10.1007/978-94-007-1363-5</w:t>
        </w:r>
      </w:hyperlink>
      <w:r>
        <w:t xml:space="preserve">.</w:t>
      </w:r>
    </w:p>
    <w:bookmarkEnd w:id="191"/>
    <w:bookmarkStart w:id="193" w:name="ref-CapitalRegionDistrict2017"/>
    <w:p>
      <w:pPr>
        <w:pStyle w:val="Bibliography"/>
      </w:pPr>
      <w:r>
        <w:t xml:space="preserve">CRD. 2017. “Regional Water Supply 2017 Strategic Plan.” Victoria, B.C.: Capital Region District, Integrated Water Services.</w:t>
      </w:r>
      <w:r>
        <w:t xml:space="preserve"> </w:t>
      </w:r>
      <w:hyperlink r:id="rId192">
        <w:r>
          <w:rPr>
            <w:rStyle w:val="Hyperlink"/>
          </w:rPr>
          <w:t xml:space="preserve">https://www.crd.bc.ca/project/past-capital-projects-and-initiatives/water-supply-plan</w:t>
        </w:r>
      </w:hyperlink>
      <w:r>
        <w:t xml:space="preserve">.</w:t>
      </w:r>
    </w:p>
    <w:bookmarkEnd w:id="193"/>
    <w:bookmarkStart w:id="195"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94">
        <w:r>
          <w:rPr>
            <w:rStyle w:val="Hyperlink"/>
          </w:rPr>
          <w:t xml:space="preserve">https://doi.org/IWSS-297445977-5079</w:t>
        </w:r>
      </w:hyperlink>
      <w:r>
        <w:t xml:space="preserve">.</w:t>
      </w:r>
    </w:p>
    <w:bookmarkEnd w:id="195"/>
    <w:bookmarkStart w:id="197"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96">
        <w:r>
          <w:rPr>
            <w:rStyle w:val="Hyperlink"/>
          </w:rPr>
          <w:t xml:space="preserve">https://doi.org/10.1139/cjfas-2014-0400</w:t>
        </w:r>
      </w:hyperlink>
      <w:r>
        <w:t xml:space="preserve">.</w:t>
      </w:r>
    </w:p>
    <w:bookmarkEnd w:id="197"/>
    <w:bookmarkStart w:id="199"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198">
        <w:r>
          <w:rPr>
            <w:rStyle w:val="Hyperlink"/>
          </w:rPr>
          <w:t xml:space="preserve">https://doi.org/10.1016/B978-0-12-382092-1.00019-1</w:t>
        </w:r>
      </w:hyperlink>
      <w:r>
        <w:t xml:space="preserve">.</w:t>
      </w:r>
    </w:p>
    <w:bookmarkEnd w:id="199"/>
    <w:bookmarkStart w:id="201"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00">
        <w:r>
          <w:rPr>
            <w:rStyle w:val="Hyperlink"/>
          </w:rPr>
          <w:t xml:space="preserve">https://doi.org/10.1016/j.watres.2016.08.031</w:t>
        </w:r>
      </w:hyperlink>
      <w:r>
        <w:t xml:space="preserve">.</w:t>
      </w:r>
    </w:p>
    <w:bookmarkEnd w:id="201"/>
    <w:bookmarkStart w:id="203" w:name="ref-Diehl2007"/>
    <w:p>
      <w:pPr>
        <w:pStyle w:val="Bibliography"/>
      </w:pPr>
      <w:r>
        <w:t xml:space="preserve">Diehl, Timothy H. 2007. “A Modified Siphon Sampler for Shallow Water.” U.S. Department of the Interior, U.S. Geological Survey.</w:t>
      </w:r>
      <w:r>
        <w:t xml:space="preserve"> </w:t>
      </w:r>
      <w:hyperlink r:id="rId202">
        <w:r>
          <w:rPr>
            <w:rStyle w:val="Hyperlink"/>
          </w:rPr>
          <w:t xml:space="preserve">https://pubs.er.usgs.gov/publication/sir20075282</w:t>
        </w:r>
      </w:hyperlink>
      <w:r>
        <w:t xml:space="preserve">.</w:t>
      </w:r>
    </w:p>
    <w:bookmarkEnd w:id="203"/>
    <w:bookmarkStart w:id="205"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04">
        <w:r>
          <w:rPr>
            <w:rStyle w:val="Hyperlink"/>
          </w:rPr>
          <w:t xml:space="preserve">http://scholar.google.com/scholar?hl=en{\&amp;}btnG=Search{\&amp;}q=intitle:Running+Pure{\#}1</w:t>
        </w:r>
      </w:hyperlink>
      <w:r>
        <w:t xml:space="preserve">.</w:t>
      </w:r>
    </w:p>
    <w:bookmarkEnd w:id="205"/>
    <w:bookmarkStart w:id="207"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06">
        <w:r>
          <w:rPr>
            <w:rStyle w:val="Hyperlink"/>
          </w:rPr>
          <w:t xml:space="preserve">https://doi.org/10.1016/j.watres.2010.08.051</w:t>
        </w:r>
      </w:hyperlink>
      <w:r>
        <w:t xml:space="preserve">.</w:t>
      </w:r>
    </w:p>
    <w:bookmarkEnd w:id="207"/>
    <w:bookmarkStart w:id="208" w:name="ref-Epps1994"/>
    <w:p>
      <w:pPr>
        <w:pStyle w:val="Bibliography"/>
      </w:pPr>
      <w:r>
        <w:t xml:space="preserve">Epps, Deborah Norine. 1994. “Factors Affecting Disinfection By-Products from Surface Source Waters on Vancouver Island.” Master of Science, University of Victoria.</w:t>
      </w:r>
    </w:p>
    <w:bookmarkEnd w:id="208"/>
    <w:bookmarkStart w:id="210" w:name="ref-Evans1999"/>
    <w:p>
      <w:pPr>
        <w:pStyle w:val="Bibliography"/>
      </w:pPr>
      <w:r>
        <w:t xml:space="preserve">Evans, C., T. D. Davies, and P. S. Murdoch. 1999. “Component flow processes at four streams in the Catskill Mountains, New York, analysed using episodic concentration/discharge relationship.”</w:t>
      </w:r>
      <w:r>
        <w:t xml:space="preserve"> </w:t>
      </w:r>
      <w:r>
        <w:rPr>
          <w:i/>
        </w:rPr>
        <w:t xml:space="preserve">Hydrological Processes</w:t>
      </w:r>
      <w:r>
        <w:t xml:space="preserve"> </w:t>
      </w:r>
      <w:r>
        <w:t xml:space="preserve">13 (4): 563–75.</w:t>
      </w:r>
      <w:r>
        <w:t xml:space="preserve"> </w:t>
      </w:r>
      <w:hyperlink r:id="rId209">
        <w:r>
          <w:rPr>
            <w:rStyle w:val="Hyperlink"/>
          </w:rPr>
          <w:t xml:space="preserve">https://doi.org/10.1002/(SICI)1099-1085(199903)13:4&lt;563::AID-HYP711&gt;3.0.CO;2-N</w:t>
        </w:r>
      </w:hyperlink>
      <w:r>
        <w:t xml:space="preserve">.</w:t>
      </w:r>
    </w:p>
    <w:bookmarkEnd w:id="210"/>
    <w:bookmarkStart w:id="212" w:name="ref-Evans1998"/>
    <w:p>
      <w:pPr>
        <w:pStyle w:val="Bibliography"/>
      </w:pPr>
      <w:r>
        <w:t xml:space="preserve">Evans, Christopher, and Trevor D. Davies. 1998. “Causes of concentration/discharge hysteresis and its potential as a tool for analysis of episode hydrochemistry.”</w:t>
      </w:r>
      <w:r>
        <w:t xml:space="preserve"> </w:t>
      </w:r>
      <w:r>
        <w:rPr>
          <w:i/>
        </w:rPr>
        <w:t xml:space="preserve">Water Resources Research</w:t>
      </w:r>
      <w:r>
        <w:t xml:space="preserve"> </w:t>
      </w:r>
      <w:r>
        <w:t xml:space="preserve">34 (1): 129–37.</w:t>
      </w:r>
      <w:r>
        <w:t xml:space="preserve"> </w:t>
      </w:r>
      <w:hyperlink r:id="rId211">
        <w:r>
          <w:rPr>
            <w:rStyle w:val="Hyperlink"/>
          </w:rPr>
          <w:t xml:space="preserve">https://doi.org/10.1029/97WR01881</w:t>
        </w:r>
      </w:hyperlink>
      <w:r>
        <w:t xml:space="preserve">.</w:t>
      </w:r>
    </w:p>
    <w:bookmarkEnd w:id="212"/>
    <w:bookmarkStart w:id="214" w:name="ref-SoilsCanada2018"/>
    <w:p>
      <w:pPr>
        <w:pStyle w:val="Bibliography"/>
      </w:pPr>
      <w:r>
        <w:t xml:space="preserve">Government of Canada. 2018. “Soils of British Columbia.”</w:t>
      </w:r>
      <w:r>
        <w:t xml:space="preserve"> </w:t>
      </w:r>
      <w:hyperlink r:id="rId213">
        <w:r>
          <w:rPr>
            <w:rStyle w:val="Hyperlink"/>
          </w:rPr>
          <w:t xml:space="preserve">http://sis.agr.gc.ca/cansis/soils/bc/soils.html</w:t>
        </w:r>
      </w:hyperlink>
      <w:r>
        <w:t xml:space="preserve">.</w:t>
      </w:r>
    </w:p>
    <w:bookmarkEnd w:id="214"/>
    <w:bookmarkStart w:id="216"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15">
        <w:r>
          <w:rPr>
            <w:rStyle w:val="Hyperlink"/>
          </w:rPr>
          <w:t xml:space="preserve">https://doi.org/10.3133/fs06700</w:t>
        </w:r>
      </w:hyperlink>
      <w:r>
        <w:t xml:space="preserve">.</w:t>
      </w:r>
    </w:p>
    <w:bookmarkEnd w:id="216"/>
    <w:bookmarkStart w:id="218"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17">
        <w:r>
          <w:rPr>
            <w:rStyle w:val="Hyperlink"/>
          </w:rPr>
          <w:t xml:space="preserve">https://doi.org/10.13031/2013.15662</w:t>
        </w:r>
      </w:hyperlink>
      <w:r>
        <w:t xml:space="preserve">.</w:t>
      </w:r>
    </w:p>
    <w:bookmarkEnd w:id="218"/>
    <w:bookmarkStart w:id="220" w:name="ref-HealthCanada2019"/>
    <w:p>
      <w:pPr>
        <w:pStyle w:val="Bibliography"/>
      </w:pPr>
      <w:r>
        <w:t xml:space="preserve">Health Canada. 2019a. “Guidance on Natural Organic Matter in Drinking Water.”</w:t>
      </w:r>
      <w:r>
        <w:t xml:space="preserve"> </w:t>
      </w:r>
      <w:hyperlink r:id="rId219">
        <w:r>
          <w:rPr>
            <w:rStyle w:val="Hyperlink"/>
          </w:rPr>
          <w:t xml:space="preserve">https://www.canada.ca/content/dam/hc-sc/documents/programs/consultation-organic-matter-drinking-water/NOM20190129-eng.pdf</w:t>
        </w:r>
      </w:hyperlink>
      <w:r>
        <w:t xml:space="preserve">.</w:t>
      </w:r>
    </w:p>
    <w:bookmarkEnd w:id="220"/>
    <w:bookmarkStart w:id="222"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21">
        <w:r>
          <w:rPr>
            <w:rStyle w:val="Hyperlink"/>
          </w:rPr>
          <w:t xml:space="preserve">https://www.canada.ca/content/dam/hc-sc/migration/hc-sc/ewh-semt/alt{\_}formats/pdf/pubs/water-eau/sum{\_}guide-res{\_}recom/summary-table-August-15-2019-eng.pdf</w:t>
        </w:r>
      </w:hyperlink>
      <w:r>
        <w:t xml:space="preserve">.</w:t>
      </w:r>
    </w:p>
    <w:bookmarkEnd w:id="222"/>
    <w:bookmarkStart w:id="224" w:name="ref-HealthCanada2006"/>
    <w:p>
      <w:pPr>
        <w:pStyle w:val="Bibliography"/>
      </w:pPr>
      <w:r>
        <w:t xml:space="preserve">HealthCanada. 2006. “Drinking Water Chlorination.”</w:t>
      </w:r>
      <w:r>
        <w:t xml:space="preserve"> </w:t>
      </w:r>
      <w:hyperlink r:id="rId223">
        <w:r>
          <w:rPr>
            <w:rStyle w:val="Hyperlink"/>
          </w:rPr>
          <w:t xml:space="preserve">https://www.canada.ca/en/health-canada/services/healthy-living/your-health/environment/drinking-water-chlorination.html</w:t>
        </w:r>
      </w:hyperlink>
      <w:r>
        <w:t xml:space="preserve">.</w:t>
      </w:r>
    </w:p>
    <w:bookmarkEnd w:id="224"/>
    <w:bookmarkStart w:id="226" w:name="ref-HealthLinkBC2018"/>
    <w:p>
      <w:pPr>
        <w:pStyle w:val="Bibliography"/>
      </w:pPr>
      <w:r>
        <w:t xml:space="preserve">HealthLinkBC. 2018. “Drinking Water Chlorination,” no. 49.</w:t>
      </w:r>
      <w:r>
        <w:t xml:space="preserve"> </w:t>
      </w:r>
      <w:hyperlink r:id="rId225">
        <w:r>
          <w:rPr>
            <w:rStyle w:val="Hyperlink"/>
          </w:rPr>
          <w:t xml:space="preserve">https://www.healthlinkbc.ca/healthlinkbc-files/drinking-water-chlorination</w:t>
        </w:r>
      </w:hyperlink>
      <w:r>
        <w:t xml:space="preserve">.</w:t>
      </w:r>
    </w:p>
    <w:bookmarkEnd w:id="226"/>
    <w:bookmarkStart w:id="228"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27">
        <w:r>
          <w:rPr>
            <w:rStyle w:val="Hyperlink"/>
          </w:rPr>
          <w:t xml:space="preserve">https://www.jstor.org/stable/40058211</w:t>
        </w:r>
      </w:hyperlink>
      <w:r>
        <w:t xml:space="preserve">.</w:t>
      </w:r>
    </w:p>
    <w:bookmarkEnd w:id="228"/>
    <w:bookmarkStart w:id="230"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29">
        <w:r>
          <w:rPr>
            <w:rStyle w:val="Hyperlink"/>
          </w:rPr>
          <w:t xml:space="preserve">https://doi.org/10.1029/2005JG000082</w:t>
        </w:r>
      </w:hyperlink>
      <w:r>
        <w:t xml:space="preserve">.</w:t>
      </w:r>
    </w:p>
    <w:bookmarkEnd w:id="230"/>
    <w:bookmarkStart w:id="232"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31">
        <w:r>
          <w:rPr>
            <w:rStyle w:val="Hyperlink"/>
          </w:rPr>
          <w:t xml:space="preserve">https://doi.org/10.1002/j.1551-8833.1995.tb06302.x</w:t>
        </w:r>
      </w:hyperlink>
      <w:r>
        <w:t xml:space="preserve">.</w:t>
      </w:r>
    </w:p>
    <w:bookmarkEnd w:id="232"/>
    <w:bookmarkStart w:id="234"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33">
        <w:r>
          <w:rPr>
            <w:rStyle w:val="Hyperlink"/>
          </w:rPr>
          <w:t xml:space="preserve">https://doi.org/doi:10.1046/j.1365-2427.1997.d01-539.x</w:t>
        </w:r>
      </w:hyperlink>
      <w:r>
        <w:t xml:space="preserve">.</w:t>
      </w:r>
    </w:p>
    <w:bookmarkEnd w:id="234"/>
    <w:bookmarkStart w:id="236"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35">
        <w:r>
          <w:rPr>
            <w:rStyle w:val="Hyperlink"/>
          </w:rPr>
          <w:t xml:space="preserve">https://www.jstor.org/stable/41311011</w:t>
        </w:r>
      </w:hyperlink>
      <w:r>
        <w:t xml:space="preserve">.</w:t>
      </w:r>
    </w:p>
    <w:bookmarkEnd w:id="236"/>
    <w:bookmarkStart w:id="238"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37">
        <w:r>
          <w:rPr>
            <w:rStyle w:val="Hyperlink"/>
          </w:rPr>
          <w:t xml:space="preserve">https://doi.org/10.1002/j.1551-8833.2002.tb10250.x</w:t>
        </w:r>
      </w:hyperlink>
      <w:r>
        <w:t xml:space="preserve">.</w:t>
      </w:r>
    </w:p>
    <w:bookmarkEnd w:id="238"/>
    <w:bookmarkStart w:id="240"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39">
        <w:r>
          <w:rPr>
            <w:rStyle w:val="Hyperlink"/>
          </w:rPr>
          <w:t xml:space="preserve">https://doi.org/10.1029/2005WR004362</w:t>
        </w:r>
      </w:hyperlink>
      <w:r>
        <w:t xml:space="preserve">.</w:t>
      </w:r>
    </w:p>
    <w:bookmarkEnd w:id="240"/>
    <w:bookmarkStart w:id="242" w:name="ref-Lambert2014"/>
    <w:p>
      <w:pPr>
        <w:pStyle w:val="Bibliography"/>
      </w:pPr>
      <w:r>
        <w:t xml:space="preserve">Lambert, T., A. C. Pierson-Wickmann, G. Gruau, A. Jaffrezic, P. Petitjean, J. N. Thibault, and L. Jeanneau. 2014. “DOC sources and DOC transport pathways in a small headwater catchment as revealed by carbon isotope fluctuation during storm events.”</w:t>
      </w:r>
      <w:r>
        <w:t xml:space="preserve"> </w:t>
      </w:r>
      <w:r>
        <w:rPr>
          <w:i/>
        </w:rPr>
        <w:t xml:space="preserve">Biogeosciences</w:t>
      </w:r>
      <w:r>
        <w:t xml:space="preserve"> </w:t>
      </w:r>
      <w:r>
        <w:t xml:space="preserve">11 (11): 3043–56.</w:t>
      </w:r>
      <w:r>
        <w:t xml:space="preserve"> </w:t>
      </w:r>
      <w:hyperlink r:id="rId241">
        <w:r>
          <w:rPr>
            <w:rStyle w:val="Hyperlink"/>
          </w:rPr>
          <w:t xml:space="preserve">https://doi.org/10.5194/bg-11-3043-2014</w:t>
        </w:r>
      </w:hyperlink>
      <w:r>
        <w:t xml:space="preserve">.</w:t>
      </w:r>
    </w:p>
    <w:bookmarkEnd w:id="242"/>
    <w:bookmarkStart w:id="244"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43">
        <w:r>
          <w:rPr>
            <w:rStyle w:val="Hyperlink"/>
          </w:rPr>
          <w:t xml:space="preserve">https://archive.org/details/metaltransportre00lazeuoft/mode/2up</w:t>
        </w:r>
      </w:hyperlink>
      <w:r>
        <w:t xml:space="preserve">.</w:t>
      </w:r>
    </w:p>
    <w:bookmarkEnd w:id="244"/>
    <w:bookmarkStart w:id="246"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45">
        <w:r>
          <w:rPr>
            <w:rStyle w:val="Hyperlink"/>
          </w:rPr>
          <w:t xml:space="preserve">https://doi.org/10.1016/j.jhazmat.2014.02.009</w:t>
        </w:r>
      </w:hyperlink>
      <w:r>
        <w:t xml:space="preserve">.</w:t>
      </w:r>
    </w:p>
    <w:bookmarkEnd w:id="246"/>
    <w:bookmarkStart w:id="248"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47">
        <w:r>
          <w:rPr>
            <w:rStyle w:val="Hyperlink"/>
          </w:rPr>
          <w:t xml:space="preserve">https://doi.org/10.1002/rra.1504</w:t>
        </w:r>
      </w:hyperlink>
      <w:r>
        <w:t xml:space="preserve">.</w:t>
      </w:r>
    </w:p>
    <w:bookmarkEnd w:id="248"/>
    <w:bookmarkStart w:id="250"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49">
        <w:r>
          <w:rPr>
            <w:rStyle w:val="Hyperlink"/>
          </w:rPr>
          <w:t xml:space="preserve">https://doi.org/10.1016/j.chemosphere.2011.01.018</w:t>
        </w:r>
      </w:hyperlink>
      <w:r>
        <w:t xml:space="preserve">.</w:t>
      </w:r>
    </w:p>
    <w:bookmarkEnd w:id="250"/>
    <w:bookmarkStart w:id="252"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51">
        <w:r>
          <w:rPr>
            <w:rStyle w:val="Hyperlink"/>
          </w:rPr>
          <w:t xml:space="preserve">https://doi.org/10.1016/j.cis.2010.06.007</w:t>
        </w:r>
      </w:hyperlink>
      <w:r>
        <w:t xml:space="preserve">.</w:t>
      </w:r>
    </w:p>
    <w:bookmarkEnd w:id="252"/>
    <w:bookmarkStart w:id="254"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253">
        <w:r>
          <w:rPr>
            <w:rStyle w:val="Hyperlink"/>
          </w:rPr>
          <w:t xml:space="preserve">https://doi.org/10.1007/s10533-018-0482-6</w:t>
        </w:r>
      </w:hyperlink>
      <w:r>
        <w:t xml:space="preserve">.</w:t>
      </w:r>
    </w:p>
    <w:bookmarkEnd w:id="254"/>
    <w:bookmarkStart w:id="256"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55">
        <w:r>
          <w:rPr>
            <w:rStyle w:val="Hyperlink"/>
          </w:rPr>
          <w:t xml:space="preserve">https://www.jstor.org/stable/1937326</w:t>
        </w:r>
      </w:hyperlink>
      <w:r>
        <w:t xml:space="preserve">.</w:t>
      </w:r>
    </w:p>
    <w:bookmarkEnd w:id="256"/>
    <w:bookmarkStart w:id="258"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57">
        <w:r>
          <w:rPr>
            <w:rStyle w:val="Hyperlink"/>
          </w:rPr>
          <w:t xml:space="preserve">https://doi.org/10.14288/1.0387350</w:t>
        </w:r>
      </w:hyperlink>
      <w:r>
        <w:t xml:space="preserve">.</w:t>
      </w:r>
    </w:p>
    <w:bookmarkEnd w:id="258"/>
    <w:bookmarkStart w:id="260"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59">
        <w:r>
          <w:rPr>
            <w:rStyle w:val="Hyperlink"/>
          </w:rPr>
          <w:t xml:space="preserve">https://doi.org/10.1007/s10533-015-0103-6</w:t>
        </w:r>
      </w:hyperlink>
      <w:r>
        <w:t xml:space="preserve">.</w:t>
      </w:r>
    </w:p>
    <w:bookmarkEnd w:id="260"/>
    <w:bookmarkStart w:id="262" w:name="ref-Musolff2015"/>
    <w:p>
      <w:pPr>
        <w:pStyle w:val="Bibliography"/>
      </w:pPr>
      <w:r>
        <w:t xml:space="preserve">Musolff, Andreas, Christian Schmidt, Benny Selle, and Jan H. Fleckenstein. 2015. “Catchment controls on solute export.”</w:t>
      </w:r>
      <w:r>
        <w:t xml:space="preserve"> </w:t>
      </w:r>
      <w:r>
        <w:rPr>
          <w:i/>
        </w:rPr>
        <w:t xml:space="preserve">Advances in Water Resources</w:t>
      </w:r>
      <w:r>
        <w:t xml:space="preserve"> </w:t>
      </w:r>
      <w:r>
        <w:t xml:space="preserve">86: 133–46.</w:t>
      </w:r>
      <w:r>
        <w:t xml:space="preserve"> </w:t>
      </w:r>
      <w:hyperlink r:id="rId261">
        <w:r>
          <w:rPr>
            <w:rStyle w:val="Hyperlink"/>
          </w:rPr>
          <w:t xml:space="preserve">https://doi.org/10.1016/j.advwatres.2015.09.026</w:t>
        </w:r>
      </w:hyperlink>
      <w:r>
        <w:t xml:space="preserve">.</w:t>
      </w:r>
    </w:p>
    <w:bookmarkEnd w:id="262"/>
    <w:bookmarkStart w:id="264"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63">
        <w:r>
          <w:rPr>
            <w:rStyle w:val="Hyperlink"/>
          </w:rPr>
          <w:t xml:space="preserve">http://hdl.handle.net/1885/40940</w:t>
        </w:r>
      </w:hyperlink>
      <w:r>
        <w:t xml:space="preserve">.</w:t>
      </w:r>
    </w:p>
    <w:bookmarkEnd w:id="264"/>
    <w:bookmarkStart w:id="266"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65">
        <w:r>
          <w:rPr>
            <w:rStyle w:val="Hyperlink"/>
          </w:rPr>
          <w:t xml:space="preserve">https://doi.org/10.5194/bg-10-2315-2013</w:t>
        </w:r>
      </w:hyperlink>
      <w:r>
        <w:t xml:space="preserve">.</w:t>
      </w:r>
    </w:p>
    <w:bookmarkEnd w:id="266"/>
    <w:bookmarkStart w:id="268"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67">
        <w:r>
          <w:rPr>
            <w:rStyle w:val="Hyperlink"/>
          </w:rPr>
          <w:t xml:space="preserve">http://www.jstor.com/stable/41295152</w:t>
        </w:r>
      </w:hyperlink>
      <w:r>
        <w:t xml:space="preserve">.</w:t>
      </w:r>
    </w:p>
    <w:bookmarkEnd w:id="268"/>
    <w:bookmarkStart w:id="270"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69">
        <w:r>
          <w:rPr>
            <w:rStyle w:val="Hyperlink"/>
          </w:rPr>
          <w:t xml:space="preserve">https://doi.org/10.1007/s11270-013-1651-9</w:t>
        </w:r>
      </w:hyperlink>
      <w:r>
        <w:t xml:space="preserve">.</w:t>
      </w:r>
    </w:p>
    <w:bookmarkEnd w:id="270"/>
    <w:bookmarkStart w:id="272"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71">
        <w:r>
          <w:rPr>
            <w:rStyle w:val="Hyperlink"/>
          </w:rPr>
          <w:t xml:space="preserve">https://doi.org/10.1016/S0003-2670(96)00412-6</w:t>
        </w:r>
      </w:hyperlink>
      <w:r>
        <w:t xml:space="preserve">.</w:t>
      </w:r>
    </w:p>
    <w:bookmarkEnd w:id="272"/>
    <w:bookmarkStart w:id="274"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73">
        <w:r>
          <w:rPr>
            <w:rStyle w:val="Hyperlink"/>
          </w:rPr>
          <w:t xml:space="preserve">https://www.for.gov.bc.ca/hfd/pubs/docs/lmh/Lmh66/LMH66{\_}volume2of2.pdf</w:t>
        </w:r>
      </w:hyperlink>
      <w:r>
        <w:t xml:space="preserve">.</w:t>
      </w:r>
    </w:p>
    <w:bookmarkEnd w:id="274"/>
    <w:bookmarkStart w:id="275"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75"/>
    <w:bookmarkStart w:id="277"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76">
        <w:r>
          <w:rPr>
            <w:rStyle w:val="Hyperlink"/>
          </w:rPr>
          <w:t xml:space="preserve">https://doi.org/10.1007/sl0533-010-9416-7</w:t>
        </w:r>
      </w:hyperlink>
      <w:r>
        <w:t xml:space="preserve">.</w:t>
      </w:r>
    </w:p>
    <w:bookmarkEnd w:id="277"/>
    <w:bookmarkStart w:id="279"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78">
        <w:r>
          <w:rPr>
            <w:rStyle w:val="Hyperlink"/>
          </w:rPr>
          <w:t xml:space="preserve">https://www.jstor.org/stable/24702986</w:t>
        </w:r>
      </w:hyperlink>
      <w:r>
        <w:t xml:space="preserve">.</w:t>
      </w:r>
    </w:p>
    <w:bookmarkEnd w:id="279"/>
    <w:bookmarkStart w:id="281"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80">
        <w:r>
          <w:rPr>
            <w:rStyle w:val="Hyperlink"/>
          </w:rPr>
          <w:t xml:space="preserve">https://doi.org/10.1016/j.scitotenv.2016.09.113</w:t>
        </w:r>
      </w:hyperlink>
      <w:r>
        <w:t xml:space="preserve">.</w:t>
      </w:r>
    </w:p>
    <w:bookmarkEnd w:id="281"/>
    <w:bookmarkStart w:id="283"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82">
        <w:r>
          <w:rPr>
            <w:rStyle w:val="Hyperlink"/>
          </w:rPr>
          <w:t xml:space="preserve">https://doi.org/10.1111/j.1365-2427.2011.02613.x</w:t>
        </w:r>
      </w:hyperlink>
      <w:r>
        <w:t xml:space="preserve">.</w:t>
      </w:r>
    </w:p>
    <w:bookmarkEnd w:id="283"/>
    <w:bookmarkStart w:id="285"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284">
        <w:r>
          <w:rPr>
            <w:rStyle w:val="Hyperlink"/>
          </w:rPr>
          <w:t xml:space="preserve">https://doi.org/10.1186/1471-2105-9-307</w:t>
        </w:r>
      </w:hyperlink>
      <w:r>
        <w:t xml:space="preserve">.</w:t>
      </w:r>
    </w:p>
    <w:bookmarkEnd w:id="285"/>
    <w:bookmarkStart w:id="287"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286">
        <w:r>
          <w:rPr>
            <w:rStyle w:val="Hyperlink"/>
          </w:rPr>
          <w:t xml:space="preserve">https://doi.org/10.1037/a0016973</w:t>
        </w:r>
      </w:hyperlink>
      <w:r>
        <w:t xml:space="preserve">.</w:t>
      </w:r>
    </w:p>
    <w:bookmarkEnd w:id="287"/>
    <w:bookmarkStart w:id="289"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288">
        <w:r>
          <w:rPr>
            <w:rStyle w:val="Hyperlink"/>
          </w:rPr>
          <w:t xml:space="preserve">https://doi.org/10.1016/j.jenvman.2007.03.001</w:t>
        </w:r>
      </w:hyperlink>
      <w:r>
        <w:t xml:space="preserve">.</w:t>
      </w:r>
    </w:p>
    <w:bookmarkEnd w:id="289"/>
    <w:bookmarkStart w:id="291"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290">
        <w:r>
          <w:rPr>
            <w:rStyle w:val="Hyperlink"/>
          </w:rPr>
          <w:t xml:space="preserve">https://doi.org/10.3390</w:t>
        </w:r>
      </w:hyperlink>
      <w:r>
        <w:t xml:space="preserve">.</w:t>
      </w:r>
    </w:p>
    <w:bookmarkEnd w:id="291"/>
    <w:bookmarkStart w:id="292"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92"/>
    <w:bookmarkStart w:id="293"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93"/>
    <w:bookmarkStart w:id="295" w:name="ref-Vaughan2019"/>
    <w:p>
      <w:pPr>
        <w:pStyle w:val="Bibliography"/>
      </w:pPr>
      <w:r>
        <w:t xml:space="preserve">Vaughan, M. C. H., W. B. Bowden, J. B. Shanley, A. Vermilyea, and A. W. Schroth. 2019. “Shining light on the storm: in-stream optics reveal hysteresis of dissolved organic matter character.”</w:t>
      </w:r>
      <w:r>
        <w:t xml:space="preserve"> </w:t>
      </w:r>
      <w:r>
        <w:rPr>
          <w:i/>
        </w:rPr>
        <w:t xml:space="preserve">Biogeochemistry</w:t>
      </w:r>
      <w:r>
        <w:t xml:space="preserve"> </w:t>
      </w:r>
      <w:r>
        <w:t xml:space="preserve">143 (3): 275–91.</w:t>
      </w:r>
      <w:r>
        <w:t xml:space="preserve"> </w:t>
      </w:r>
      <w:hyperlink r:id="rId294">
        <w:r>
          <w:rPr>
            <w:rStyle w:val="Hyperlink"/>
          </w:rPr>
          <w:t xml:space="preserve">https://doi.org/10.1007/s10533-019-00561-w</w:t>
        </w:r>
      </w:hyperlink>
      <w:r>
        <w:t xml:space="preserve">.</w:t>
      </w:r>
    </w:p>
    <w:bookmarkEnd w:id="295"/>
    <w:bookmarkStart w:id="297"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96">
        <w:r>
          <w:rPr>
            <w:rStyle w:val="Hyperlink"/>
          </w:rPr>
          <w:t xml:space="preserve">https://doi.org/10.1007/s10533-008-9207-6</w:t>
        </w:r>
      </w:hyperlink>
      <w:r>
        <w:t xml:space="preserve">.</w:t>
      </w:r>
    </w:p>
    <w:bookmarkEnd w:id="297"/>
    <w:bookmarkStart w:id="299"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98">
        <w:r>
          <w:rPr>
            <w:rStyle w:val="Hyperlink"/>
          </w:rPr>
          <w:t xml:space="preserve">https://doi.org/10.1021/es030360x</w:t>
        </w:r>
      </w:hyperlink>
      <w:r>
        <w:t xml:space="preserve">.</w:t>
      </w:r>
    </w:p>
    <w:bookmarkEnd w:id="299"/>
    <w:bookmarkStart w:id="301"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300">
        <w:r>
          <w:rPr>
            <w:rStyle w:val="Hyperlink"/>
          </w:rPr>
          <w:t xml:space="preserve">https://doi.org/10.1007/s11356-015-4078-6</w:t>
        </w:r>
      </w:hyperlink>
      <w:r>
        <w:t xml:space="preserve">.</w:t>
      </w:r>
    </w:p>
    <w:bookmarkEnd w:id="301"/>
    <w:bookmarkStart w:id="303"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302">
        <w:r>
          <w:rPr>
            <w:rStyle w:val="Hyperlink"/>
          </w:rPr>
          <w:t xml:space="preserve">https://doi.org/10.1029/2018GL080005</w:t>
        </w:r>
      </w:hyperlink>
      <w:r>
        <w:t xml:space="preserve">.</w:t>
      </w:r>
    </w:p>
    <w:bookmarkEnd w:id="303"/>
    <w:bookmarkEnd w:id="304"/>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6">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32" Target="media/rId132.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9" Target="media/rId89.png" /><Relationship Type="http://schemas.openxmlformats.org/officeDocument/2006/relationships/image" Id="rId159" Target="media/rId159.png" /><Relationship Type="http://schemas.openxmlformats.org/officeDocument/2006/relationships/image" Id="rId151" Target="media/rId151.png" /><Relationship Type="http://schemas.openxmlformats.org/officeDocument/2006/relationships/image" Id="rId150" Target="media/rId150.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146" Target="media/rId146.png" /><Relationship Type="http://schemas.openxmlformats.org/officeDocument/2006/relationships/image" Id="rId111" Target="media/rId111.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94" Target="media/rId94.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16" Target="media/rId116.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44" Target="media/rId144.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41" Target="media/rId141.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40" Target="media/rId140.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35" Target="media/rId135.png" /><Relationship Type="http://schemas.openxmlformats.org/officeDocument/2006/relationships/image" Id="rId113" Target="media/rId113.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hyperlink" Id="rId263" Target="http://hdl.handle.net/1885/40940" TargetMode="External" /><Relationship Type="http://schemas.openxmlformats.org/officeDocument/2006/relationships/hyperlink" Id="rId204" Target="http://scholar.google.com/scholar?hl=en%7B\&amp;%7DbtnG=Search%7B\&amp;%7Dq=intitle:Running+Pure%7B\#%7D1" TargetMode="External" /><Relationship Type="http://schemas.openxmlformats.org/officeDocument/2006/relationships/hyperlink" Id="rId213" Target="http://sis.agr.gc.ca/cansis/soils/bc/soils.html" TargetMode="External" /><Relationship Type="http://schemas.openxmlformats.org/officeDocument/2006/relationships/hyperlink" Id="rId267" Target="http://www.jstor.com/stable/41295152" TargetMode="External" /><Relationship Type="http://schemas.openxmlformats.org/officeDocument/2006/relationships/hyperlink" Id="rId172" Target="http://www.standardmethods.org/" TargetMode="External" /><Relationship Type="http://schemas.openxmlformats.org/officeDocument/2006/relationships/hyperlink" Id="rId243" Target="https://archive.org/details/metaltransportre00lazeuoft/mode/2up" TargetMode="External" /><Relationship Type="http://schemas.openxmlformats.org/officeDocument/2006/relationships/hyperlink" Id="rId209" Target="https://doi.org/10.1002/(SICI)1099-1085(199903)13:4%3C563::AID-HYP711%3E3.0.CO;2-N" TargetMode="External" /><Relationship Type="http://schemas.openxmlformats.org/officeDocument/2006/relationships/hyperlink" Id="rId162" Target="https://doi.org/10.1002/2017WR021578" TargetMode="External" /><Relationship Type="http://schemas.openxmlformats.org/officeDocument/2006/relationships/hyperlink" Id="rId164" Target="https://doi.org/10.1002/j.1551-8833.1995.tb06299.x" TargetMode="External" /><Relationship Type="http://schemas.openxmlformats.org/officeDocument/2006/relationships/hyperlink" Id="rId231" Target="https://doi.org/10.1002/j.1551-8833.1995.tb06302.x" TargetMode="External" /><Relationship Type="http://schemas.openxmlformats.org/officeDocument/2006/relationships/hyperlink" Id="rId237" Target="https://doi.org/10.1002/j.1551-8833.2002.tb10250.x" TargetMode="External" /><Relationship Type="http://schemas.openxmlformats.org/officeDocument/2006/relationships/hyperlink" Id="rId247" Target="https://doi.org/10.1002/rra.1504" TargetMode="External" /><Relationship Type="http://schemas.openxmlformats.org/officeDocument/2006/relationships/hyperlink" Id="rId190" Target="https://doi.org/10.1007/978-94-007-1363-5" TargetMode="External" /><Relationship Type="http://schemas.openxmlformats.org/officeDocument/2006/relationships/hyperlink" Id="rId296" Target="https://doi.org/10.1007/s10533-008-9207-6" TargetMode="External" /><Relationship Type="http://schemas.openxmlformats.org/officeDocument/2006/relationships/hyperlink" Id="rId259" Target="https://doi.org/10.1007/s10533-015-0103-6" TargetMode="External" /><Relationship Type="http://schemas.openxmlformats.org/officeDocument/2006/relationships/hyperlink" Id="rId253" Target="https://doi.org/10.1007/s10533-018-0482-6" TargetMode="External" /><Relationship Type="http://schemas.openxmlformats.org/officeDocument/2006/relationships/hyperlink" Id="rId294" Target="https://doi.org/10.1007/s10533-019-00561-w" TargetMode="External" /><Relationship Type="http://schemas.openxmlformats.org/officeDocument/2006/relationships/hyperlink" Id="rId269" Target="https://doi.org/10.1007/s11270-013-1651-9" TargetMode="External" /><Relationship Type="http://schemas.openxmlformats.org/officeDocument/2006/relationships/hyperlink" Id="rId300" Target="https://doi.org/10.1007/s11356-015-4078-6" TargetMode="External" /><Relationship Type="http://schemas.openxmlformats.org/officeDocument/2006/relationships/hyperlink" Id="rId176" Target="https://doi.org/10.1007/s11749-016-0481-7" TargetMode="External" /><Relationship Type="http://schemas.openxmlformats.org/officeDocument/2006/relationships/hyperlink" Id="rId276" Target="https://doi.org/10.1007/sl0533-010-9416-7" TargetMode="External" /><Relationship Type="http://schemas.openxmlformats.org/officeDocument/2006/relationships/hyperlink" Id="rId198" Target="https://doi.org/10.1016/B978-0-12-382092-1.00019-1" TargetMode="External" /><Relationship Type="http://schemas.openxmlformats.org/officeDocument/2006/relationships/hyperlink" Id="rId271" Target="https://doi.org/10.1016/S0003-2670(96)00412-6" TargetMode="External" /><Relationship Type="http://schemas.openxmlformats.org/officeDocument/2006/relationships/hyperlink" Id="rId261" Target="https://doi.org/10.1016/j.advwatres.2015.09.026" TargetMode="External" /><Relationship Type="http://schemas.openxmlformats.org/officeDocument/2006/relationships/hyperlink" Id="rId249" Target="https://doi.org/10.1016/j.chemosphere.2011.01.018" TargetMode="External" /><Relationship Type="http://schemas.openxmlformats.org/officeDocument/2006/relationships/hyperlink" Id="rId251" Target="https://doi.org/10.1016/j.cis.2010.06.007" TargetMode="External" /><Relationship Type="http://schemas.openxmlformats.org/officeDocument/2006/relationships/hyperlink" Id="rId288" Target="https://doi.org/10.1016/j.jenvman.2007.03.001" TargetMode="External" /><Relationship Type="http://schemas.openxmlformats.org/officeDocument/2006/relationships/hyperlink" Id="rId245" Target="https://doi.org/10.1016/j.jhazmat.2014.02.009" TargetMode="External" /><Relationship Type="http://schemas.openxmlformats.org/officeDocument/2006/relationships/hyperlink" Id="rId168" Target="https://doi.org/10.1016/j.jhydrol.2014.05.060" TargetMode="External" /><Relationship Type="http://schemas.openxmlformats.org/officeDocument/2006/relationships/hyperlink" Id="rId280" Target="https://doi.org/10.1016/j.scitotenv.2016.09.113" TargetMode="External" /><Relationship Type="http://schemas.openxmlformats.org/officeDocument/2006/relationships/hyperlink" Id="rId206" Target="https://doi.org/10.1016/j.watres.2010.08.051" TargetMode="External" /><Relationship Type="http://schemas.openxmlformats.org/officeDocument/2006/relationships/hyperlink" Id="rId200" Target="https://doi.org/10.1016/j.watres.2016.08.031" TargetMode="External" /><Relationship Type="http://schemas.openxmlformats.org/officeDocument/2006/relationships/hyperlink" Id="rId298" Target="https://doi.org/10.1021/es030360x" TargetMode="External" /><Relationship Type="http://schemas.openxmlformats.org/officeDocument/2006/relationships/hyperlink" Id="rId166" Target="https://doi.org/10.1021/es103992s" TargetMode="External" /><Relationship Type="http://schemas.openxmlformats.org/officeDocument/2006/relationships/hyperlink" Id="rId229" Target="https://doi.org/10.1029/2005JG000082" TargetMode="External" /><Relationship Type="http://schemas.openxmlformats.org/officeDocument/2006/relationships/hyperlink" Id="rId239" Target="https://doi.org/10.1029/2005WR004362" TargetMode="External" /><Relationship Type="http://schemas.openxmlformats.org/officeDocument/2006/relationships/hyperlink" Id="rId170" Target="https://doi.org/10.1029/2007JG000674" TargetMode="External" /><Relationship Type="http://schemas.openxmlformats.org/officeDocument/2006/relationships/hyperlink" Id="rId302" Target="https://doi.org/10.1029/2018GL080005" TargetMode="External" /><Relationship Type="http://schemas.openxmlformats.org/officeDocument/2006/relationships/hyperlink" Id="rId211" Target="https://doi.org/10.1029/97WR01881" TargetMode="External" /><Relationship Type="http://schemas.openxmlformats.org/officeDocument/2006/relationships/hyperlink" Id="rId286" Target="https://doi.org/10.1037/a0016973" TargetMode="External" /><Relationship Type="http://schemas.openxmlformats.org/officeDocument/2006/relationships/hyperlink" Id="rId160" Target="https://doi.org/10.1111/ele.12897" TargetMode="External" /><Relationship Type="http://schemas.openxmlformats.org/officeDocument/2006/relationships/hyperlink" Id="rId282" Target="https://doi.org/10.1111/j.1365-2427.2011.02613.x" TargetMode="External" /><Relationship Type="http://schemas.openxmlformats.org/officeDocument/2006/relationships/hyperlink" Id="rId196" Target="https://doi.org/10.1139/cjfas-2014-0400" TargetMode="External" /><Relationship Type="http://schemas.openxmlformats.org/officeDocument/2006/relationships/hyperlink" Id="rId284" Target="https://doi.org/10.1186/1471-2105-9-307" TargetMode="External" /><Relationship Type="http://schemas.openxmlformats.org/officeDocument/2006/relationships/hyperlink" Id="rId178" Target="https://doi.org/10.1201/9780367816377-11" TargetMode="External" /><Relationship Type="http://schemas.openxmlformats.org/officeDocument/2006/relationships/hyperlink" Id="rId217" Target="https://doi.org/10.13031/2013.15662" TargetMode="External" /><Relationship Type="http://schemas.openxmlformats.org/officeDocument/2006/relationships/hyperlink" Id="rId257" Target="https://doi.org/10.14288/1.0387350" TargetMode="External" /><Relationship Type="http://schemas.openxmlformats.org/officeDocument/2006/relationships/hyperlink" Id="rId174" Target="https://doi.org/10.2105/SMWW.2882.113" TargetMode="External" /><Relationship Type="http://schemas.openxmlformats.org/officeDocument/2006/relationships/hyperlink" Id="rId188" Target="https://doi.org/10.2166/aqua.2008.064" TargetMode="External" /><Relationship Type="http://schemas.openxmlformats.org/officeDocument/2006/relationships/hyperlink" Id="rId215" Target="https://doi.org/10.3133/fs06700" TargetMode="External" /><Relationship Type="http://schemas.openxmlformats.org/officeDocument/2006/relationships/hyperlink" Id="rId290" Target="https://doi.org/10.3390" TargetMode="External" /><Relationship Type="http://schemas.openxmlformats.org/officeDocument/2006/relationships/hyperlink" Id="rId265" Target="https://doi.org/10.5194/bg-10-2315-2013" TargetMode="External" /><Relationship Type="http://schemas.openxmlformats.org/officeDocument/2006/relationships/hyperlink" Id="rId241" Target="https://doi.org/10.5194/bg-11-3043-2014" TargetMode="External" /><Relationship Type="http://schemas.openxmlformats.org/officeDocument/2006/relationships/hyperlink" Id="rId194" Target="https://doi.org/IWSS-297445977-5079" TargetMode="External" /><Relationship Type="http://schemas.openxmlformats.org/officeDocument/2006/relationships/hyperlink" Id="rId233" Target="https://doi.org/doi:10.1046/j.1365-2427.1997.d01-539.x" TargetMode="External" /><Relationship Type="http://schemas.openxmlformats.org/officeDocument/2006/relationships/hyperlink" Id="rId202" Target="https://pubs.er.usgs.gov/publication/sir20075282" TargetMode="External" /><Relationship Type="http://schemas.openxmlformats.org/officeDocument/2006/relationships/hyperlink" Id="rId183" Target="https://soilsofcanada.ca" TargetMode="External" /><Relationship Type="http://schemas.openxmlformats.org/officeDocument/2006/relationships/hyperlink" Id="rId219" Target="https://www.canada.ca/content/dam/hc-sc/documents/programs/consultation-organic-matter-drinking-water/NOM20190129-eng.pdf" TargetMode="External" /><Relationship Type="http://schemas.openxmlformats.org/officeDocument/2006/relationships/hyperlink" Id="rId221" Target="https://www.canada.ca/content/dam/hc-sc/migration/hc-sc/ewh-semt/alt%7B\_%7Dformats/pdf/pubs/water-eau/sum%7B\_%7Dguide-res%7B\_%7Drecom/summary-table-August-15-2019-eng.pdf" TargetMode="External" /><Relationship Type="http://schemas.openxmlformats.org/officeDocument/2006/relationships/hyperlink" Id="rId223" Target="https://www.canada.ca/en/health-canada/services/healthy-living/your-health/environment/drinking-water-chlorination.html" TargetMode="External" /><Relationship Type="http://schemas.openxmlformats.org/officeDocument/2006/relationships/hyperlink" Id="rId192" Target="https://www.crd.bc.ca/project/past-capital-projects-and-initiatives/water-supply-plan" TargetMode="External" /><Relationship Type="http://schemas.openxmlformats.org/officeDocument/2006/relationships/hyperlink" Id="rId185" Target="https://www.crd.bc.ca/service/public-tours/watershed-tours/facts-figures" TargetMode="External" /><Relationship Type="http://schemas.openxmlformats.org/officeDocument/2006/relationships/hyperlink" Id="rId273"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25" Target="https://www.healthlinkbc.ca/healthlinkbc-files/drinking-water-chlorination" TargetMode="External" /><Relationship Type="http://schemas.openxmlformats.org/officeDocument/2006/relationships/hyperlink" Id="rId255" Target="https://www.jstor.org/stable/1937326" TargetMode="External" /><Relationship Type="http://schemas.openxmlformats.org/officeDocument/2006/relationships/hyperlink" Id="rId278" Target="https://www.jstor.org/stable/24702986" TargetMode="External" /><Relationship Type="http://schemas.openxmlformats.org/officeDocument/2006/relationships/hyperlink" Id="rId227" Target="https://www.jstor.org/stable/40058211" TargetMode="External" /><Relationship Type="http://schemas.openxmlformats.org/officeDocument/2006/relationships/hyperlink" Id="rId235" Target="https://www.jstor.org/stable/41311011" TargetMode="External" /><Relationship Type="http://schemas.openxmlformats.org/officeDocument/2006/relationships/hyperlink" Id="rId180"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63" Target="http://hdl.handle.net/1885/40940" TargetMode="External" /><Relationship Type="http://schemas.openxmlformats.org/officeDocument/2006/relationships/hyperlink" Id="rId204" Target="http://scholar.google.com/scholar?hl=en%7B\&amp;%7DbtnG=Search%7B\&amp;%7Dq=intitle:Running+Pure%7B\#%7D1" TargetMode="External" /><Relationship Type="http://schemas.openxmlformats.org/officeDocument/2006/relationships/hyperlink" Id="rId213" Target="http://sis.agr.gc.ca/cansis/soils/bc/soils.html" TargetMode="External" /><Relationship Type="http://schemas.openxmlformats.org/officeDocument/2006/relationships/hyperlink" Id="rId267" Target="http://www.jstor.com/stable/41295152" TargetMode="External" /><Relationship Type="http://schemas.openxmlformats.org/officeDocument/2006/relationships/hyperlink" Id="rId172" Target="http://www.standardmethods.org/" TargetMode="External" /><Relationship Type="http://schemas.openxmlformats.org/officeDocument/2006/relationships/hyperlink" Id="rId243" Target="https://archive.org/details/metaltransportre00lazeuoft/mode/2up" TargetMode="External" /><Relationship Type="http://schemas.openxmlformats.org/officeDocument/2006/relationships/hyperlink" Id="rId209" Target="https://doi.org/10.1002/(SICI)1099-1085(199903)13:4%3C563::AID-HYP711%3E3.0.CO;2-N" TargetMode="External" /><Relationship Type="http://schemas.openxmlformats.org/officeDocument/2006/relationships/hyperlink" Id="rId162" Target="https://doi.org/10.1002/2017WR021578" TargetMode="External" /><Relationship Type="http://schemas.openxmlformats.org/officeDocument/2006/relationships/hyperlink" Id="rId164" Target="https://doi.org/10.1002/j.1551-8833.1995.tb06299.x" TargetMode="External" /><Relationship Type="http://schemas.openxmlformats.org/officeDocument/2006/relationships/hyperlink" Id="rId231" Target="https://doi.org/10.1002/j.1551-8833.1995.tb06302.x" TargetMode="External" /><Relationship Type="http://schemas.openxmlformats.org/officeDocument/2006/relationships/hyperlink" Id="rId237" Target="https://doi.org/10.1002/j.1551-8833.2002.tb10250.x" TargetMode="External" /><Relationship Type="http://schemas.openxmlformats.org/officeDocument/2006/relationships/hyperlink" Id="rId247" Target="https://doi.org/10.1002/rra.1504" TargetMode="External" /><Relationship Type="http://schemas.openxmlformats.org/officeDocument/2006/relationships/hyperlink" Id="rId190" Target="https://doi.org/10.1007/978-94-007-1363-5" TargetMode="External" /><Relationship Type="http://schemas.openxmlformats.org/officeDocument/2006/relationships/hyperlink" Id="rId296" Target="https://doi.org/10.1007/s10533-008-9207-6" TargetMode="External" /><Relationship Type="http://schemas.openxmlformats.org/officeDocument/2006/relationships/hyperlink" Id="rId259" Target="https://doi.org/10.1007/s10533-015-0103-6" TargetMode="External" /><Relationship Type="http://schemas.openxmlformats.org/officeDocument/2006/relationships/hyperlink" Id="rId253" Target="https://doi.org/10.1007/s10533-018-0482-6" TargetMode="External" /><Relationship Type="http://schemas.openxmlformats.org/officeDocument/2006/relationships/hyperlink" Id="rId294" Target="https://doi.org/10.1007/s10533-019-00561-w" TargetMode="External" /><Relationship Type="http://schemas.openxmlformats.org/officeDocument/2006/relationships/hyperlink" Id="rId269" Target="https://doi.org/10.1007/s11270-013-1651-9" TargetMode="External" /><Relationship Type="http://schemas.openxmlformats.org/officeDocument/2006/relationships/hyperlink" Id="rId300" Target="https://doi.org/10.1007/s11356-015-4078-6" TargetMode="External" /><Relationship Type="http://schemas.openxmlformats.org/officeDocument/2006/relationships/hyperlink" Id="rId176" Target="https://doi.org/10.1007/s11749-016-0481-7" TargetMode="External" /><Relationship Type="http://schemas.openxmlformats.org/officeDocument/2006/relationships/hyperlink" Id="rId276" Target="https://doi.org/10.1007/sl0533-010-9416-7" TargetMode="External" /><Relationship Type="http://schemas.openxmlformats.org/officeDocument/2006/relationships/hyperlink" Id="rId198" Target="https://doi.org/10.1016/B978-0-12-382092-1.00019-1" TargetMode="External" /><Relationship Type="http://schemas.openxmlformats.org/officeDocument/2006/relationships/hyperlink" Id="rId271" Target="https://doi.org/10.1016/S0003-2670(96)00412-6" TargetMode="External" /><Relationship Type="http://schemas.openxmlformats.org/officeDocument/2006/relationships/hyperlink" Id="rId261" Target="https://doi.org/10.1016/j.advwatres.2015.09.026" TargetMode="External" /><Relationship Type="http://schemas.openxmlformats.org/officeDocument/2006/relationships/hyperlink" Id="rId249" Target="https://doi.org/10.1016/j.chemosphere.2011.01.018" TargetMode="External" /><Relationship Type="http://schemas.openxmlformats.org/officeDocument/2006/relationships/hyperlink" Id="rId251" Target="https://doi.org/10.1016/j.cis.2010.06.007" TargetMode="External" /><Relationship Type="http://schemas.openxmlformats.org/officeDocument/2006/relationships/hyperlink" Id="rId288" Target="https://doi.org/10.1016/j.jenvman.2007.03.001" TargetMode="External" /><Relationship Type="http://schemas.openxmlformats.org/officeDocument/2006/relationships/hyperlink" Id="rId245" Target="https://doi.org/10.1016/j.jhazmat.2014.02.009" TargetMode="External" /><Relationship Type="http://schemas.openxmlformats.org/officeDocument/2006/relationships/hyperlink" Id="rId168" Target="https://doi.org/10.1016/j.jhydrol.2014.05.060" TargetMode="External" /><Relationship Type="http://schemas.openxmlformats.org/officeDocument/2006/relationships/hyperlink" Id="rId280" Target="https://doi.org/10.1016/j.scitotenv.2016.09.113" TargetMode="External" /><Relationship Type="http://schemas.openxmlformats.org/officeDocument/2006/relationships/hyperlink" Id="rId206" Target="https://doi.org/10.1016/j.watres.2010.08.051" TargetMode="External" /><Relationship Type="http://schemas.openxmlformats.org/officeDocument/2006/relationships/hyperlink" Id="rId200" Target="https://doi.org/10.1016/j.watres.2016.08.031" TargetMode="External" /><Relationship Type="http://schemas.openxmlformats.org/officeDocument/2006/relationships/hyperlink" Id="rId298" Target="https://doi.org/10.1021/es030360x" TargetMode="External" /><Relationship Type="http://schemas.openxmlformats.org/officeDocument/2006/relationships/hyperlink" Id="rId166" Target="https://doi.org/10.1021/es103992s" TargetMode="External" /><Relationship Type="http://schemas.openxmlformats.org/officeDocument/2006/relationships/hyperlink" Id="rId229" Target="https://doi.org/10.1029/2005JG000082" TargetMode="External" /><Relationship Type="http://schemas.openxmlformats.org/officeDocument/2006/relationships/hyperlink" Id="rId239" Target="https://doi.org/10.1029/2005WR004362" TargetMode="External" /><Relationship Type="http://schemas.openxmlformats.org/officeDocument/2006/relationships/hyperlink" Id="rId170" Target="https://doi.org/10.1029/2007JG000674" TargetMode="External" /><Relationship Type="http://schemas.openxmlformats.org/officeDocument/2006/relationships/hyperlink" Id="rId302" Target="https://doi.org/10.1029/2018GL080005" TargetMode="External" /><Relationship Type="http://schemas.openxmlformats.org/officeDocument/2006/relationships/hyperlink" Id="rId211" Target="https://doi.org/10.1029/97WR01881" TargetMode="External" /><Relationship Type="http://schemas.openxmlformats.org/officeDocument/2006/relationships/hyperlink" Id="rId286" Target="https://doi.org/10.1037/a0016973" TargetMode="External" /><Relationship Type="http://schemas.openxmlformats.org/officeDocument/2006/relationships/hyperlink" Id="rId160" Target="https://doi.org/10.1111/ele.12897" TargetMode="External" /><Relationship Type="http://schemas.openxmlformats.org/officeDocument/2006/relationships/hyperlink" Id="rId282" Target="https://doi.org/10.1111/j.1365-2427.2011.02613.x" TargetMode="External" /><Relationship Type="http://schemas.openxmlformats.org/officeDocument/2006/relationships/hyperlink" Id="rId196" Target="https://doi.org/10.1139/cjfas-2014-0400" TargetMode="External" /><Relationship Type="http://schemas.openxmlformats.org/officeDocument/2006/relationships/hyperlink" Id="rId284" Target="https://doi.org/10.1186/1471-2105-9-307" TargetMode="External" /><Relationship Type="http://schemas.openxmlformats.org/officeDocument/2006/relationships/hyperlink" Id="rId178" Target="https://doi.org/10.1201/9780367816377-11" TargetMode="External" /><Relationship Type="http://schemas.openxmlformats.org/officeDocument/2006/relationships/hyperlink" Id="rId217" Target="https://doi.org/10.13031/2013.15662" TargetMode="External" /><Relationship Type="http://schemas.openxmlformats.org/officeDocument/2006/relationships/hyperlink" Id="rId257" Target="https://doi.org/10.14288/1.0387350" TargetMode="External" /><Relationship Type="http://schemas.openxmlformats.org/officeDocument/2006/relationships/hyperlink" Id="rId174" Target="https://doi.org/10.2105/SMWW.2882.113" TargetMode="External" /><Relationship Type="http://schemas.openxmlformats.org/officeDocument/2006/relationships/hyperlink" Id="rId188" Target="https://doi.org/10.2166/aqua.2008.064" TargetMode="External" /><Relationship Type="http://schemas.openxmlformats.org/officeDocument/2006/relationships/hyperlink" Id="rId215" Target="https://doi.org/10.3133/fs06700" TargetMode="External" /><Relationship Type="http://schemas.openxmlformats.org/officeDocument/2006/relationships/hyperlink" Id="rId290" Target="https://doi.org/10.3390" TargetMode="External" /><Relationship Type="http://schemas.openxmlformats.org/officeDocument/2006/relationships/hyperlink" Id="rId265" Target="https://doi.org/10.5194/bg-10-2315-2013" TargetMode="External" /><Relationship Type="http://schemas.openxmlformats.org/officeDocument/2006/relationships/hyperlink" Id="rId241" Target="https://doi.org/10.5194/bg-11-3043-2014" TargetMode="External" /><Relationship Type="http://schemas.openxmlformats.org/officeDocument/2006/relationships/hyperlink" Id="rId194" Target="https://doi.org/IWSS-297445977-5079" TargetMode="External" /><Relationship Type="http://schemas.openxmlformats.org/officeDocument/2006/relationships/hyperlink" Id="rId233" Target="https://doi.org/doi:10.1046/j.1365-2427.1997.d01-539.x" TargetMode="External" /><Relationship Type="http://schemas.openxmlformats.org/officeDocument/2006/relationships/hyperlink" Id="rId202" Target="https://pubs.er.usgs.gov/publication/sir20075282" TargetMode="External" /><Relationship Type="http://schemas.openxmlformats.org/officeDocument/2006/relationships/hyperlink" Id="rId183" Target="https://soilsofcanada.ca" TargetMode="External" /><Relationship Type="http://schemas.openxmlformats.org/officeDocument/2006/relationships/hyperlink" Id="rId219" Target="https://www.canada.ca/content/dam/hc-sc/documents/programs/consultation-organic-matter-drinking-water/NOM20190129-eng.pdf" TargetMode="External" /><Relationship Type="http://schemas.openxmlformats.org/officeDocument/2006/relationships/hyperlink" Id="rId221" Target="https://www.canada.ca/content/dam/hc-sc/migration/hc-sc/ewh-semt/alt%7B\_%7Dformats/pdf/pubs/water-eau/sum%7B\_%7Dguide-res%7B\_%7Drecom/summary-table-August-15-2019-eng.pdf" TargetMode="External" /><Relationship Type="http://schemas.openxmlformats.org/officeDocument/2006/relationships/hyperlink" Id="rId223" Target="https://www.canada.ca/en/health-canada/services/healthy-living/your-health/environment/drinking-water-chlorination.html" TargetMode="External" /><Relationship Type="http://schemas.openxmlformats.org/officeDocument/2006/relationships/hyperlink" Id="rId192" Target="https://www.crd.bc.ca/project/past-capital-projects-and-initiatives/water-supply-plan" TargetMode="External" /><Relationship Type="http://schemas.openxmlformats.org/officeDocument/2006/relationships/hyperlink" Id="rId185" Target="https://www.crd.bc.ca/service/public-tours/watershed-tours/facts-figures" TargetMode="External" /><Relationship Type="http://schemas.openxmlformats.org/officeDocument/2006/relationships/hyperlink" Id="rId273"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25" Target="https://www.healthlinkbc.ca/healthlinkbc-files/drinking-water-chlorination" TargetMode="External" /><Relationship Type="http://schemas.openxmlformats.org/officeDocument/2006/relationships/hyperlink" Id="rId255" Target="https://www.jstor.org/stable/1937326" TargetMode="External" /><Relationship Type="http://schemas.openxmlformats.org/officeDocument/2006/relationships/hyperlink" Id="rId278" Target="https://www.jstor.org/stable/24702986" TargetMode="External" /><Relationship Type="http://schemas.openxmlformats.org/officeDocument/2006/relationships/hyperlink" Id="rId227" Target="https://www.jstor.org/stable/40058211" TargetMode="External" /><Relationship Type="http://schemas.openxmlformats.org/officeDocument/2006/relationships/hyperlink" Id="rId235" Target="https://www.jstor.org/stable/41311011" TargetMode="External" /><Relationship Type="http://schemas.openxmlformats.org/officeDocument/2006/relationships/hyperlink" Id="rId180"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a second growth forested drinking water supply area on Vancouver Island, BC: an assessment of dissolved organic carbon and spectral properties</dc:title>
  <dc:creator>Hannah J. McSorley</dc:creator>
  <cp:keywords/>
  <dcterms:created xsi:type="dcterms:W3CDTF">2020-09-11T15:39:51Z</dcterms:created>
  <dcterms:modified xsi:type="dcterms:W3CDTF">2020-09-11T15:39:51Z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